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14" w:rsidRDefault="003C4F98" w:rsidP="00A20114">
      <w:pPr>
        <w:pStyle w:val="Nadpisneslovan"/>
        <w:jc w:val="center"/>
        <w:rPr>
          <w:caps w:val="0"/>
          <w:sz w:val="36"/>
        </w:rPr>
      </w:pPr>
      <w:r>
        <w:rPr>
          <w:caps w:val="0"/>
        </w:rPr>
        <w:t>Jez Varnsdorf – sanace průsaků ve středovém pilíři</w:t>
      </w: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  <w:proofErr w:type="gramStart"/>
      <w:r w:rsidRPr="00622F2D">
        <w:t>O</w:t>
      </w:r>
      <w:bookmarkStart w:id="0" w:name="_Ref179957293"/>
      <w:bookmarkEnd w:id="0"/>
      <w:r w:rsidRPr="00622F2D">
        <w:t>bsah :</w:t>
      </w:r>
      <w:proofErr w:type="gramEnd"/>
    </w:p>
    <w:p w:rsidR="00DA146C" w:rsidRPr="008D2EA4" w:rsidRDefault="00DA146C" w:rsidP="00B54A91">
      <w:pPr>
        <w:pStyle w:val="Nadpisneslovan"/>
        <w:rPr>
          <w:sz w:val="22"/>
          <w:highlight w:val="yellow"/>
        </w:rPr>
      </w:pPr>
    </w:p>
    <w:p w:rsidR="001A7B99" w:rsidRDefault="00C67BF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b/>
          <w:highlight w:val="yellow"/>
        </w:rPr>
        <w:fldChar w:fldCharType="begin"/>
      </w:r>
      <w:r>
        <w:rPr>
          <w:b/>
          <w:highlight w:val="yellow"/>
        </w:rPr>
        <w:instrText xml:space="preserve"> TOC \o "1-4" </w:instrText>
      </w:r>
      <w:r>
        <w:rPr>
          <w:b/>
          <w:highlight w:val="yellow"/>
        </w:rPr>
        <w:fldChar w:fldCharType="separate"/>
      </w:r>
      <w:bookmarkStart w:id="1" w:name="_GoBack"/>
      <w:bookmarkEnd w:id="1"/>
      <w:r w:rsidR="001A7B99">
        <w:rPr>
          <w:noProof/>
        </w:rPr>
        <w:t>CH.</w:t>
      </w:r>
      <w:r w:rsidR="001A7B99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1A7B99">
        <w:rPr>
          <w:noProof/>
        </w:rPr>
        <w:t>nÁVRH POVODŇOVÉHO PLÁNU</w:t>
      </w:r>
      <w:r w:rsidR="001A7B99">
        <w:rPr>
          <w:noProof/>
        </w:rPr>
        <w:tab/>
      </w:r>
      <w:r w:rsidR="001A7B99">
        <w:rPr>
          <w:noProof/>
        </w:rPr>
        <w:fldChar w:fldCharType="begin"/>
      </w:r>
      <w:r w:rsidR="001A7B99">
        <w:rPr>
          <w:noProof/>
        </w:rPr>
        <w:instrText xml:space="preserve"> PAGEREF _Toc10210049 \h </w:instrText>
      </w:r>
      <w:r w:rsidR="001A7B99">
        <w:rPr>
          <w:noProof/>
        </w:rPr>
      </w:r>
      <w:r w:rsidR="001A7B99">
        <w:rPr>
          <w:noProof/>
        </w:rPr>
        <w:fldChar w:fldCharType="separate"/>
      </w:r>
      <w:r w:rsidR="0083518B">
        <w:rPr>
          <w:noProof/>
        </w:rPr>
        <w:t>2</w:t>
      </w:r>
      <w:r w:rsidR="001A7B99">
        <w:rPr>
          <w:noProof/>
        </w:rPr>
        <w:fldChar w:fldCharType="end"/>
      </w:r>
    </w:p>
    <w:p w:rsidR="001A7B99" w:rsidRDefault="001A7B9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CH.1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ZÁKLADNÍ ÚDAJE</w:t>
      </w:r>
      <w:r>
        <w:tab/>
      </w:r>
      <w:r>
        <w:fldChar w:fldCharType="begin"/>
      </w:r>
      <w:r>
        <w:instrText xml:space="preserve"> PAGEREF _Toc10210050 \h </w:instrText>
      </w:r>
      <w:r>
        <w:fldChar w:fldCharType="separate"/>
      </w:r>
      <w:r w:rsidR="0083518B">
        <w:t>2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stavebníkovi</w:t>
      </w:r>
      <w:r>
        <w:tab/>
      </w:r>
      <w:r>
        <w:fldChar w:fldCharType="begin"/>
      </w:r>
      <w:r>
        <w:instrText xml:space="preserve"> PAGEREF _Toc10210051 \h </w:instrText>
      </w:r>
      <w:r>
        <w:fldChar w:fldCharType="separate"/>
      </w:r>
      <w:r w:rsidR="0083518B">
        <w:t>2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Údaje o zpracovateli projektové dokumentace</w:t>
      </w:r>
      <w:r>
        <w:tab/>
      </w:r>
      <w:r>
        <w:fldChar w:fldCharType="begin"/>
      </w:r>
      <w:r>
        <w:instrText xml:space="preserve"> PAGEREF _Toc10210052 \h </w:instrText>
      </w:r>
      <w:r>
        <w:fldChar w:fldCharType="separate"/>
      </w:r>
      <w:r w:rsidR="0083518B">
        <w:t>3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Členění stavby na objekty a technická a technologická zařízení</w:t>
      </w:r>
      <w:r>
        <w:tab/>
      </w:r>
      <w:r>
        <w:fldChar w:fldCharType="begin"/>
      </w:r>
      <w:r>
        <w:instrText xml:space="preserve"> PAGEREF _Toc10210053 \h </w:instrText>
      </w:r>
      <w:r>
        <w:fldChar w:fldCharType="separate"/>
      </w:r>
      <w:r w:rsidR="0083518B">
        <w:t>3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CH.1.4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Odvodnění staveniště</w:t>
      </w:r>
      <w:r>
        <w:tab/>
      </w:r>
      <w:r>
        <w:fldChar w:fldCharType="begin"/>
      </w:r>
      <w:r>
        <w:instrText xml:space="preserve"> PAGEREF _Toc10210054 \h </w:instrText>
      </w:r>
      <w:r>
        <w:fldChar w:fldCharType="separate"/>
      </w:r>
      <w:r w:rsidR="0083518B">
        <w:t>4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CH.1.5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Postup prací</w:t>
      </w:r>
      <w:r>
        <w:tab/>
      </w:r>
      <w:r>
        <w:fldChar w:fldCharType="begin"/>
      </w:r>
      <w:r>
        <w:instrText xml:space="preserve"> PAGEREF _Toc10210055 \h </w:instrText>
      </w:r>
      <w:r>
        <w:fldChar w:fldCharType="separate"/>
      </w:r>
      <w:r w:rsidR="0083518B">
        <w:t>4</w:t>
      </w:r>
      <w:r>
        <w:fldChar w:fldCharType="end"/>
      </w:r>
    </w:p>
    <w:p w:rsidR="001A7B99" w:rsidRDefault="001A7B9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CH.2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POVODŇOVÝ PLÁN</w:t>
      </w:r>
      <w:r>
        <w:tab/>
      </w:r>
      <w:r>
        <w:fldChar w:fldCharType="begin"/>
      </w:r>
      <w:r>
        <w:instrText xml:space="preserve"> PAGEREF _Toc10210056 \h </w:instrText>
      </w:r>
      <w:r>
        <w:fldChar w:fldCharType="separate"/>
      </w:r>
      <w:r w:rsidR="0083518B">
        <w:t>6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Účel povodňového plánu</w:t>
      </w:r>
      <w:r>
        <w:tab/>
      </w:r>
      <w:r>
        <w:fldChar w:fldCharType="begin"/>
      </w:r>
      <w:r>
        <w:instrText xml:space="preserve"> PAGEREF _Toc10210057 \h </w:instrText>
      </w:r>
      <w:r>
        <w:fldChar w:fldCharType="separate"/>
      </w:r>
      <w:r w:rsidR="0083518B">
        <w:t>6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Rozsah platnosti</w:t>
      </w:r>
      <w:r>
        <w:tab/>
      </w:r>
      <w:r>
        <w:fldChar w:fldCharType="begin"/>
      </w:r>
      <w:r>
        <w:instrText xml:space="preserve"> PAGEREF _Toc10210058 \h </w:instrText>
      </w:r>
      <w:r>
        <w:fldChar w:fldCharType="separate"/>
      </w:r>
      <w:r w:rsidR="0083518B">
        <w:t>6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Hydrologické poměry</w:t>
      </w:r>
      <w:r>
        <w:tab/>
      </w:r>
      <w:r>
        <w:fldChar w:fldCharType="begin"/>
      </w:r>
      <w:r>
        <w:instrText xml:space="preserve"> PAGEREF _Toc10210059 \h </w:instrText>
      </w:r>
      <w:r>
        <w:fldChar w:fldCharType="separate"/>
      </w:r>
      <w:r w:rsidR="0083518B">
        <w:t>6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Časové vazby stavby, mimořádná manipulace</w:t>
      </w:r>
      <w:r>
        <w:tab/>
      </w:r>
      <w:r>
        <w:fldChar w:fldCharType="begin"/>
      </w:r>
      <w:r>
        <w:instrText xml:space="preserve"> PAGEREF _Toc10210060 \h </w:instrText>
      </w:r>
      <w:r>
        <w:fldChar w:fldCharType="separate"/>
      </w:r>
      <w:r w:rsidR="0083518B">
        <w:t>6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Sledování průtočného množství</w:t>
      </w:r>
      <w:r>
        <w:tab/>
      </w:r>
      <w:r>
        <w:fldChar w:fldCharType="begin"/>
      </w:r>
      <w:r>
        <w:instrText xml:space="preserve"> PAGEREF _Toc10210061 \h </w:instrText>
      </w:r>
      <w:r>
        <w:fldChar w:fldCharType="separate"/>
      </w:r>
      <w:r w:rsidR="0083518B">
        <w:t>7</w:t>
      </w:r>
      <w:r>
        <w:fldChar w:fldCharType="end"/>
      </w:r>
    </w:p>
    <w:p w:rsidR="001A7B99" w:rsidRDefault="001A7B99">
      <w:pPr>
        <w:pStyle w:val="Obsah4"/>
        <w:tabs>
          <w:tab w:val="left" w:pos="1813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63926">
        <w:rPr>
          <w:rFonts w:eastAsia="Calibri"/>
          <w:noProof/>
          <w:lang w:eastAsia="en-US"/>
        </w:rPr>
        <w:t>CH.2.5.1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63926">
        <w:rPr>
          <w:rFonts w:eastAsia="Calibri"/>
          <w:noProof/>
          <w:lang w:eastAsia="en-US"/>
        </w:rPr>
        <w:t>Při snížené hladině ve zdrži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_Toc10210062 \h </w:instrText>
      </w:r>
      <w:r>
        <w:rPr>
          <w:noProof/>
        </w:rPr>
      </w:r>
      <w:r>
        <w:rPr>
          <w:noProof/>
        </w:rPr>
        <w:fldChar w:fldCharType="separate"/>
      </w:r>
      <w:r w:rsidR="0083518B">
        <w:rPr>
          <w:noProof/>
        </w:rPr>
        <w:t>7</w:t>
      </w:r>
      <w:r>
        <w:rPr>
          <w:noProof/>
        </w:rPr>
        <w:fldChar w:fldCharType="end"/>
      </w:r>
    </w:p>
    <w:p w:rsidR="001A7B99" w:rsidRDefault="001A7B99">
      <w:pPr>
        <w:pStyle w:val="Obsah4"/>
        <w:tabs>
          <w:tab w:val="left" w:pos="1813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63926">
        <w:rPr>
          <w:rFonts w:eastAsia="Calibri"/>
          <w:noProof/>
          <w:lang w:eastAsia="en-US"/>
        </w:rPr>
        <w:t>CH.2.5.2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63926">
        <w:rPr>
          <w:rFonts w:eastAsia="Calibri"/>
          <w:noProof/>
          <w:lang w:eastAsia="en-US"/>
        </w:rPr>
        <w:t>Při vypuštěné zdrži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_Toc10210063 \h </w:instrText>
      </w:r>
      <w:r>
        <w:rPr>
          <w:noProof/>
        </w:rPr>
      </w:r>
      <w:r>
        <w:rPr>
          <w:noProof/>
        </w:rPr>
        <w:fldChar w:fldCharType="separate"/>
      </w:r>
      <w:r w:rsidR="0083518B">
        <w:rPr>
          <w:noProof/>
        </w:rPr>
        <w:t>7</w:t>
      </w:r>
      <w:r>
        <w:rPr>
          <w:noProof/>
        </w:rP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Omezení prací</w:t>
      </w:r>
      <w:r>
        <w:tab/>
      </w:r>
      <w:r>
        <w:fldChar w:fldCharType="begin"/>
      </w:r>
      <w:r>
        <w:instrText xml:space="preserve"> PAGEREF _Toc10210064 \h </w:instrText>
      </w:r>
      <w:r>
        <w:fldChar w:fldCharType="separate"/>
      </w:r>
      <w:r w:rsidR="0083518B">
        <w:t>8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Činnost po povodni</w:t>
      </w:r>
      <w:r>
        <w:tab/>
      </w:r>
      <w:r>
        <w:fldChar w:fldCharType="begin"/>
      </w:r>
      <w:r>
        <w:instrText xml:space="preserve"> PAGEREF _Toc10210065 \h </w:instrText>
      </w:r>
      <w:r>
        <w:fldChar w:fldCharType="separate"/>
      </w:r>
      <w:r w:rsidR="0083518B">
        <w:t>9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Organizace povodňové služby</w:t>
      </w:r>
      <w:r>
        <w:tab/>
      </w:r>
      <w:r>
        <w:fldChar w:fldCharType="begin"/>
      </w:r>
      <w:r>
        <w:instrText xml:space="preserve"> PAGEREF _Toc10210066 \h </w:instrText>
      </w:r>
      <w:r>
        <w:fldChar w:fldCharType="separate"/>
      </w:r>
      <w:r w:rsidR="0083518B">
        <w:t>9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Manipulace s poklopovým hrazením</w:t>
      </w:r>
      <w:r>
        <w:tab/>
      </w:r>
      <w:r>
        <w:fldChar w:fldCharType="begin"/>
      </w:r>
      <w:r>
        <w:instrText xml:space="preserve"> PAGEREF _Toc10210067 \h </w:instrText>
      </w:r>
      <w:r>
        <w:fldChar w:fldCharType="separate"/>
      </w:r>
      <w:r w:rsidR="0083518B">
        <w:t>9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Povodňová kniha</w:t>
      </w:r>
      <w:r>
        <w:tab/>
      </w:r>
      <w:r>
        <w:fldChar w:fldCharType="begin"/>
      </w:r>
      <w:r>
        <w:instrText xml:space="preserve"> PAGEREF _Toc10210068 \h </w:instrText>
      </w:r>
      <w:r>
        <w:fldChar w:fldCharType="separate"/>
      </w:r>
      <w:r w:rsidR="0083518B">
        <w:t>9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CH.2.11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Telefonické kontakty</w:t>
      </w:r>
      <w:r>
        <w:tab/>
      </w:r>
      <w:r>
        <w:fldChar w:fldCharType="begin"/>
      </w:r>
      <w:r>
        <w:instrText xml:space="preserve"> PAGEREF _Toc10210069 \h </w:instrText>
      </w:r>
      <w:r>
        <w:fldChar w:fldCharType="separate"/>
      </w:r>
      <w:r w:rsidR="0083518B">
        <w:t>10</w:t>
      </w:r>
      <w:r>
        <w:fldChar w:fldCharType="end"/>
      </w:r>
    </w:p>
    <w:p w:rsidR="001A7B99" w:rsidRDefault="001A7B9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CH.2.12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Odpovědné osoby stavby</w:t>
      </w:r>
      <w:r>
        <w:tab/>
      </w:r>
      <w:r>
        <w:fldChar w:fldCharType="begin"/>
      </w:r>
      <w:r>
        <w:instrText xml:space="preserve"> PAGEREF _Toc10210070 \h </w:instrText>
      </w:r>
      <w:r>
        <w:fldChar w:fldCharType="separate"/>
      </w:r>
      <w:r w:rsidR="0083518B">
        <w:t>11</w:t>
      </w:r>
      <w:r>
        <w:fldChar w:fldCharType="end"/>
      </w:r>
    </w:p>
    <w:p w:rsidR="00DA146C" w:rsidRPr="008D2EA4" w:rsidRDefault="00C67BF5" w:rsidP="00B54A91">
      <w:pPr>
        <w:pStyle w:val="Textpoznpodarou"/>
        <w:rPr>
          <w:highlight w:val="yellow"/>
        </w:rPr>
      </w:pPr>
      <w:r>
        <w:rPr>
          <w:b/>
          <w:highlight w:val="yellow"/>
        </w:rPr>
        <w:fldChar w:fldCharType="end"/>
      </w:r>
    </w:p>
    <w:p w:rsidR="00DA146C" w:rsidRPr="008D2EA4" w:rsidRDefault="00DA146C" w:rsidP="00B54A91">
      <w:pPr>
        <w:pStyle w:val="Textpoznpodarou"/>
        <w:rPr>
          <w:highlight w:val="yellow"/>
        </w:rPr>
      </w:pPr>
    </w:p>
    <w:p w:rsidR="00CC7B48" w:rsidRDefault="00CC7B48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3C4F98" w:rsidRPr="003C4F98" w:rsidRDefault="003C4F98" w:rsidP="003C4F98">
      <w:pPr>
        <w:pStyle w:val="Nadpis1"/>
      </w:pPr>
      <w:bookmarkStart w:id="2" w:name="_Toc297136949"/>
      <w:bookmarkStart w:id="3" w:name="_Toc297190473"/>
      <w:bookmarkStart w:id="4" w:name="_Toc304840580"/>
      <w:bookmarkStart w:id="5" w:name="_Toc297136950"/>
      <w:bookmarkStart w:id="6" w:name="_Toc297190474"/>
      <w:bookmarkStart w:id="7" w:name="_Toc304840581"/>
      <w:bookmarkStart w:id="8" w:name="_Toc10210049"/>
      <w:bookmarkEnd w:id="2"/>
      <w:bookmarkEnd w:id="3"/>
      <w:bookmarkEnd w:id="4"/>
      <w:bookmarkEnd w:id="5"/>
      <w:bookmarkEnd w:id="6"/>
      <w:bookmarkEnd w:id="7"/>
      <w:r>
        <w:lastRenderedPageBreak/>
        <w:t>nÁVRH POVODŇOVÉHO PLÁNU</w:t>
      </w:r>
      <w:bookmarkEnd w:id="8"/>
    </w:p>
    <w:p w:rsidR="003C4F98" w:rsidRDefault="000B3E25" w:rsidP="003C4F98">
      <w:pPr>
        <w:pStyle w:val="Nadpis2"/>
      </w:pPr>
      <w:bookmarkStart w:id="9" w:name="_Toc10210050"/>
      <w:r>
        <w:t>ZÁKLADNÍ ÚDAJE</w:t>
      </w:r>
      <w:bookmarkEnd w:id="9"/>
    </w:p>
    <w:p w:rsidR="003C4F98" w:rsidRDefault="003C4F98" w:rsidP="003C4F98">
      <w:pPr>
        <w:spacing w:line="276" w:lineRule="auto"/>
        <w:rPr>
          <w:i/>
        </w:rPr>
      </w:pPr>
    </w:p>
    <w:p w:rsidR="003C4F98" w:rsidRPr="00CA377D" w:rsidRDefault="003C4F98" w:rsidP="003C4F98">
      <w:pPr>
        <w:spacing w:line="276" w:lineRule="auto"/>
        <w:rPr>
          <w:i/>
        </w:rPr>
      </w:pPr>
      <w:r w:rsidRPr="00CA377D">
        <w:rPr>
          <w:i/>
        </w:rPr>
        <w:t>a) Název stavby</w:t>
      </w:r>
    </w:p>
    <w:p w:rsidR="003C4F98" w:rsidRDefault="003C4F98" w:rsidP="003C4F98">
      <w:pPr>
        <w:spacing w:line="276" w:lineRule="auto"/>
      </w:pPr>
      <w:r>
        <w:t>Jez Varnsdorf – sanace průsaků ve středovém pilíři</w:t>
      </w:r>
    </w:p>
    <w:p w:rsidR="003C4F98" w:rsidRDefault="003C4F98" w:rsidP="003C4F98">
      <w:pPr>
        <w:tabs>
          <w:tab w:val="left" w:pos="2835"/>
        </w:tabs>
        <w:spacing w:line="276" w:lineRule="auto"/>
      </w:pPr>
      <w:r>
        <w:t>Kategorie stavby:</w:t>
      </w:r>
      <w:r>
        <w:tab/>
        <w:t>Vodohospodářská stavba</w:t>
      </w:r>
    </w:p>
    <w:p w:rsidR="003C4F98" w:rsidRDefault="003C4F98" w:rsidP="003C4F98">
      <w:pPr>
        <w:tabs>
          <w:tab w:val="left" w:pos="2835"/>
        </w:tabs>
        <w:spacing w:after="0" w:line="276" w:lineRule="auto"/>
        <w:ind w:left="2835" w:hanging="2835"/>
      </w:pPr>
      <w:r>
        <w:t>Účel stavby:</w:t>
      </w:r>
      <w:r>
        <w:tab/>
        <w:t>Zajištění stability objektů jezové konstrukce a podjezí</w:t>
      </w:r>
    </w:p>
    <w:p w:rsidR="003C4F98" w:rsidRDefault="003C4F98" w:rsidP="003C4F98">
      <w:pPr>
        <w:tabs>
          <w:tab w:val="left" w:pos="2835"/>
        </w:tabs>
        <w:spacing w:before="240" w:line="276" w:lineRule="auto"/>
        <w:ind w:left="2835" w:hanging="2835"/>
      </w:pPr>
      <w:r>
        <w:t>Stupeň dokumentace:</w:t>
      </w:r>
      <w:r>
        <w:tab/>
        <w:t>DSJ (DSP, DPS)</w:t>
      </w:r>
    </w:p>
    <w:p w:rsidR="003C4F98" w:rsidRPr="0081391B" w:rsidRDefault="003C4F98" w:rsidP="003C4F98">
      <w:pPr>
        <w:tabs>
          <w:tab w:val="left" w:pos="2835"/>
        </w:tabs>
        <w:spacing w:after="0" w:line="276" w:lineRule="auto"/>
        <w:ind w:left="2835" w:hanging="2835"/>
      </w:pPr>
      <w:r w:rsidRPr="0081391B">
        <w:t>Vodní tok:</w:t>
      </w:r>
      <w:r w:rsidRPr="0081391B">
        <w:tab/>
      </w:r>
      <w:proofErr w:type="spellStart"/>
      <w:r w:rsidRPr="0081391B">
        <w:t>Mandava</w:t>
      </w:r>
      <w:proofErr w:type="spellEnd"/>
      <w:r w:rsidRPr="0081391B">
        <w:t xml:space="preserve">, </w:t>
      </w:r>
      <w:proofErr w:type="gramStart"/>
      <w:r w:rsidRPr="0081391B">
        <w:t>ř.km</w:t>
      </w:r>
      <w:proofErr w:type="gramEnd"/>
      <w:r w:rsidRPr="0081391B">
        <w:t xml:space="preserve"> </w:t>
      </w:r>
      <w:r>
        <w:t>4,140</w:t>
      </w:r>
      <w:r w:rsidRPr="0081391B">
        <w:t>, ČHP 2-04-08-00</w:t>
      </w:r>
      <w:r>
        <w:t>5</w:t>
      </w:r>
    </w:p>
    <w:p w:rsidR="003C4F98" w:rsidRDefault="003C4F98" w:rsidP="003C4F98">
      <w:pPr>
        <w:tabs>
          <w:tab w:val="left" w:pos="2835"/>
        </w:tabs>
        <w:spacing w:after="0" w:line="276" w:lineRule="auto"/>
        <w:ind w:left="2835" w:hanging="2835"/>
      </w:pPr>
    </w:p>
    <w:p w:rsidR="003C4F98" w:rsidRDefault="003C4F98" w:rsidP="003C4F98">
      <w:pPr>
        <w:spacing w:line="276" w:lineRule="auto"/>
      </w:pPr>
      <w:r>
        <w:rPr>
          <w:i/>
        </w:rPr>
        <w:t>b</w:t>
      </w:r>
      <w:r w:rsidRPr="00CA377D">
        <w:rPr>
          <w:i/>
        </w:rPr>
        <w:t xml:space="preserve">) </w:t>
      </w:r>
      <w:r>
        <w:rPr>
          <w:i/>
        </w:rPr>
        <w:t>Umístění stavby</w:t>
      </w:r>
    </w:p>
    <w:p w:rsidR="003C4F98" w:rsidRDefault="003C4F98" w:rsidP="003C4F98">
      <w:pPr>
        <w:spacing w:line="276" w:lineRule="auto"/>
        <w:ind w:left="2835" w:hanging="2835"/>
      </w:pPr>
      <w:r>
        <w:t>Místo stavby:</w:t>
      </w:r>
      <w:r>
        <w:tab/>
        <w:t>obec Varnsdorf (okres Děčín)</w:t>
      </w:r>
    </w:p>
    <w:p w:rsidR="003C4F98" w:rsidRDefault="003C4F98" w:rsidP="003C4F98">
      <w:pPr>
        <w:spacing w:line="276" w:lineRule="auto"/>
        <w:ind w:left="2835" w:hanging="2835"/>
      </w:pPr>
      <w:r>
        <w:t>Katastrální území:</w:t>
      </w:r>
      <w:r>
        <w:tab/>
        <w:t>Varnsdorf</w:t>
      </w:r>
      <w:r w:rsidRPr="009C5041">
        <w:t xml:space="preserve"> </w:t>
      </w:r>
      <w:r>
        <w:t>(776971)</w:t>
      </w:r>
    </w:p>
    <w:p w:rsidR="003C4F98" w:rsidRDefault="003C4F98" w:rsidP="003C4F98">
      <w:pPr>
        <w:spacing w:after="0" w:line="276" w:lineRule="auto"/>
        <w:ind w:left="2835" w:hanging="2835"/>
      </w:pPr>
      <w:r>
        <w:t>Dotčené pozemky:</w:t>
      </w:r>
      <w:r>
        <w:tab/>
      </w:r>
      <w:proofErr w:type="spellStart"/>
      <w:proofErr w:type="gramStart"/>
      <w:r w:rsidRPr="00D0126C">
        <w:t>parc</w:t>
      </w:r>
      <w:proofErr w:type="gramEnd"/>
      <w:r w:rsidRPr="00D0126C">
        <w:t>.</w:t>
      </w:r>
      <w:proofErr w:type="gramStart"/>
      <w:r w:rsidRPr="00D0126C">
        <w:t>č</w:t>
      </w:r>
      <w:proofErr w:type="spellEnd"/>
      <w:r w:rsidRPr="00D0126C">
        <w:t>.</w:t>
      </w:r>
      <w:proofErr w:type="gramEnd"/>
      <w:r w:rsidRPr="00D0126C">
        <w:t xml:space="preserve"> 8186/11, 211, 223, 269, 287/1, 8186/1, 8186/10.</w:t>
      </w:r>
    </w:p>
    <w:p w:rsidR="003C4F98" w:rsidRDefault="003C4F98" w:rsidP="003C4F98">
      <w:pPr>
        <w:spacing w:after="0" w:line="276" w:lineRule="auto"/>
        <w:ind w:left="2835" w:hanging="2835"/>
      </w:pPr>
    </w:p>
    <w:p w:rsidR="003C4F98" w:rsidRDefault="003C4F98" w:rsidP="003C4F98">
      <w:pPr>
        <w:spacing w:line="276" w:lineRule="auto"/>
      </w:pPr>
      <w:r>
        <w:rPr>
          <w:i/>
        </w:rPr>
        <w:t>c</w:t>
      </w:r>
      <w:r w:rsidRPr="00CA377D">
        <w:rPr>
          <w:i/>
        </w:rPr>
        <w:t xml:space="preserve">) </w:t>
      </w:r>
      <w:r>
        <w:rPr>
          <w:i/>
        </w:rPr>
        <w:t>Předmět dokumentace</w:t>
      </w:r>
    </w:p>
    <w:p w:rsidR="003C4F98" w:rsidRPr="00E973D4" w:rsidRDefault="003C4F98" w:rsidP="003C4F98">
      <w:pPr>
        <w:spacing w:line="276" w:lineRule="auto"/>
      </w:pPr>
      <w:r w:rsidRPr="00E973D4">
        <w:t xml:space="preserve">Předmětem dokumentace je </w:t>
      </w:r>
      <w:r>
        <w:t>obnova</w:t>
      </w:r>
      <w:r w:rsidRPr="00E973D4">
        <w:t xml:space="preserve"> stavebních částí jezové konstrukce, která je navržena v následujícím rozsahu:</w:t>
      </w:r>
    </w:p>
    <w:p w:rsidR="003C4F98" w:rsidRPr="001361D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 xml:space="preserve">stabilizace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pohyblivého jezu,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>výměna nebo doplnění porušených</w:t>
      </w:r>
      <w:r>
        <w:rPr>
          <w:szCs w:val="24"/>
        </w:rPr>
        <w:t xml:space="preserve"> (degradovaných)</w:t>
      </w:r>
      <w:r w:rsidRPr="00E973D4">
        <w:rPr>
          <w:szCs w:val="24"/>
        </w:rPr>
        <w:t xml:space="preserve"> kamenů na pilířích ve spodní části jezu, 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proofErr w:type="spellStart"/>
      <w:r w:rsidRPr="00E973D4">
        <w:rPr>
          <w:szCs w:val="24"/>
        </w:rPr>
        <w:t>přespárování</w:t>
      </w:r>
      <w:proofErr w:type="spellEnd"/>
      <w:r w:rsidRPr="00E973D4">
        <w:rPr>
          <w:szCs w:val="24"/>
        </w:rPr>
        <w:t xml:space="preserve"> </w:t>
      </w:r>
      <w:r>
        <w:rPr>
          <w:szCs w:val="24"/>
        </w:rPr>
        <w:t xml:space="preserve">přelivných </w:t>
      </w:r>
      <w:r w:rsidRPr="00E973D4">
        <w:rPr>
          <w:szCs w:val="24"/>
        </w:rPr>
        <w:t xml:space="preserve">konstrukcí </w:t>
      </w:r>
      <w:r>
        <w:rPr>
          <w:szCs w:val="24"/>
        </w:rPr>
        <w:t xml:space="preserve">pohyblivého jezu, </w:t>
      </w:r>
      <w:r w:rsidRPr="00E973D4">
        <w:rPr>
          <w:szCs w:val="24"/>
        </w:rPr>
        <w:t>pilířů</w:t>
      </w:r>
      <w:r>
        <w:rPr>
          <w:szCs w:val="24"/>
        </w:rPr>
        <w:t xml:space="preserve">, podjezí pohyblivého jezu a </w:t>
      </w:r>
      <w:proofErr w:type="spellStart"/>
      <w:r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, 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>obnova degradovaných konstrukcí betonových prahů v podjezí pohyblivého jezu,</w:t>
      </w:r>
      <w:r w:rsidRPr="00E973D4">
        <w:rPr>
          <w:szCs w:val="24"/>
        </w:rPr>
        <w:t xml:space="preserve"> 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 xml:space="preserve">provedení injekční clony z povrchu </w:t>
      </w:r>
      <w:r>
        <w:rPr>
          <w:szCs w:val="24"/>
        </w:rPr>
        <w:t xml:space="preserve">levého pilíře původního pohyblivého jezu a </w:t>
      </w:r>
      <w:proofErr w:type="spellStart"/>
      <w:r w:rsidRPr="00E973D4"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 do jeho výplně a podloží</w:t>
      </w:r>
      <w:r>
        <w:rPr>
          <w:szCs w:val="24"/>
        </w:rPr>
        <w:t>,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 w:rsidRPr="00E973D4">
        <w:rPr>
          <w:szCs w:val="24"/>
        </w:rPr>
        <w:t xml:space="preserve">doplnění odvodnění </w:t>
      </w:r>
      <w:proofErr w:type="spellStart"/>
      <w:r w:rsidRPr="00E973D4">
        <w:rPr>
          <w:szCs w:val="24"/>
        </w:rPr>
        <w:t>mezipilíře</w:t>
      </w:r>
      <w:proofErr w:type="spellEnd"/>
      <w:r w:rsidRPr="00E973D4">
        <w:rPr>
          <w:szCs w:val="24"/>
        </w:rPr>
        <w:t xml:space="preserve"> </w:t>
      </w:r>
      <w:proofErr w:type="spellStart"/>
      <w:r w:rsidRPr="00E973D4">
        <w:rPr>
          <w:szCs w:val="24"/>
        </w:rPr>
        <w:t>odvrty</w:t>
      </w:r>
      <w:proofErr w:type="spellEnd"/>
      <w:r w:rsidRPr="00E973D4">
        <w:rPr>
          <w:szCs w:val="24"/>
        </w:rPr>
        <w:t xml:space="preserve">, </w:t>
      </w:r>
      <w:r>
        <w:rPr>
          <w:szCs w:val="24"/>
        </w:rPr>
        <w:t>které budou provedeny v nižší výškové úrovni,</w:t>
      </w:r>
    </w:p>
    <w:p w:rsidR="003C4F98" w:rsidRP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  <w:rPr>
          <w:szCs w:val="24"/>
        </w:rPr>
      </w:pPr>
      <w:r>
        <w:rPr>
          <w:szCs w:val="24"/>
        </w:rPr>
        <w:t>zajištění dna podjezí pevného jezu</w:t>
      </w:r>
      <w:r w:rsidRPr="00E973D4">
        <w:rPr>
          <w:szCs w:val="24"/>
        </w:rPr>
        <w:t xml:space="preserve">. </w:t>
      </w:r>
      <w:bookmarkStart w:id="10" w:name="_Toc1717979"/>
    </w:p>
    <w:p w:rsidR="003C4F98" w:rsidRPr="00D0126C" w:rsidRDefault="003C4F98" w:rsidP="003C4F98">
      <w:pPr>
        <w:pStyle w:val="Nadpis3"/>
      </w:pPr>
      <w:bookmarkStart w:id="11" w:name="_Toc10210051"/>
      <w:r w:rsidRPr="00D0126C">
        <w:t>Údaje o stavebníkovi</w:t>
      </w:r>
      <w:bookmarkEnd w:id="10"/>
      <w:bookmarkEnd w:id="11"/>
    </w:p>
    <w:p w:rsidR="003C4F98" w:rsidRPr="00D0126C" w:rsidRDefault="003C4F98" w:rsidP="003C4F98">
      <w:pPr>
        <w:spacing w:line="276" w:lineRule="auto"/>
      </w:pPr>
      <w:r w:rsidRPr="00D0126C">
        <w:t>Povodí Ohře, státní podnik</w:t>
      </w:r>
    </w:p>
    <w:p w:rsidR="003C4F98" w:rsidRPr="00D0126C" w:rsidRDefault="003C4F98" w:rsidP="003C4F98">
      <w:pPr>
        <w:tabs>
          <w:tab w:val="left" w:pos="2835"/>
        </w:tabs>
        <w:spacing w:line="276" w:lineRule="auto"/>
      </w:pPr>
      <w:r w:rsidRPr="00D0126C">
        <w:t>Sídlo:</w:t>
      </w:r>
      <w:r w:rsidRPr="00D0126C">
        <w:tab/>
      </w:r>
      <w:r w:rsidRPr="00D0126C">
        <w:tab/>
        <w:t>Bezručova 4219, 430 03 Chomutov</w:t>
      </w:r>
    </w:p>
    <w:p w:rsidR="003C4F98" w:rsidRDefault="003C4F98" w:rsidP="003C4F98">
      <w:pPr>
        <w:tabs>
          <w:tab w:val="left" w:pos="2835"/>
        </w:tabs>
        <w:spacing w:line="276" w:lineRule="auto"/>
      </w:pPr>
      <w:r w:rsidRPr="00D0126C">
        <w:t>IČ, DIČ:</w:t>
      </w:r>
      <w:r w:rsidRPr="00D0126C">
        <w:tab/>
      </w:r>
      <w:r w:rsidRPr="00D0126C">
        <w:tab/>
        <w:t>70889988, CZ70889988</w:t>
      </w:r>
      <w:bookmarkStart w:id="12" w:name="_Toc1717980"/>
    </w:p>
    <w:p w:rsidR="003C4F98" w:rsidRDefault="003C4F98">
      <w:pPr>
        <w:spacing w:after="0"/>
        <w:jc w:val="left"/>
        <w:rPr>
          <w:b/>
          <w:sz w:val="26"/>
        </w:rPr>
      </w:pPr>
      <w:r>
        <w:br w:type="page"/>
      </w:r>
    </w:p>
    <w:p w:rsidR="003C4F98" w:rsidRPr="00D0126C" w:rsidRDefault="003C4F98" w:rsidP="003C4F98">
      <w:pPr>
        <w:pStyle w:val="Nadpis3"/>
      </w:pPr>
      <w:bookmarkStart w:id="13" w:name="_Toc10210052"/>
      <w:r w:rsidRPr="00D0126C">
        <w:lastRenderedPageBreak/>
        <w:t>Údaje o zpracovateli projektové dokumentace</w:t>
      </w:r>
      <w:bookmarkEnd w:id="12"/>
      <w:bookmarkEnd w:id="13"/>
    </w:p>
    <w:p w:rsidR="003C4F98" w:rsidRPr="00D0126C" w:rsidRDefault="003C4F98" w:rsidP="003C4F98">
      <w:pPr>
        <w:spacing w:after="0" w:line="276" w:lineRule="auto"/>
      </w:pPr>
      <w:r w:rsidRPr="00D0126C">
        <w:t>VODNÍ DÍLA – TBD a.s.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Sídlo:</w:t>
      </w:r>
      <w:r w:rsidRPr="00D0126C">
        <w:tab/>
      </w:r>
      <w:r w:rsidRPr="00D0126C">
        <w:tab/>
        <w:t>Hybernská 1617/40, 110 00 Praha 1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Zástupce:</w:t>
      </w:r>
      <w:r w:rsidRPr="00D0126C">
        <w:tab/>
      </w:r>
      <w:r w:rsidRPr="00D0126C">
        <w:tab/>
        <w:t xml:space="preserve">Ing. Miloš Sedláček, prokurista 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Autorizovaný inženýr:</w:t>
      </w:r>
      <w:r w:rsidRPr="00D0126C">
        <w:tab/>
      </w:r>
      <w:r w:rsidRPr="00D0126C">
        <w:tab/>
        <w:t>Ing. Tomáš Klemša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Číslo autorizace:</w:t>
      </w:r>
      <w:r w:rsidRPr="00D0126C">
        <w:tab/>
      </w:r>
      <w:r w:rsidRPr="00D0126C">
        <w:tab/>
        <w:t>0009170</w:t>
      </w:r>
    </w:p>
    <w:p w:rsidR="003C4F98" w:rsidRPr="00D0126C" w:rsidRDefault="003C4F98" w:rsidP="003C4F98">
      <w:pPr>
        <w:tabs>
          <w:tab w:val="left" w:pos="2835"/>
        </w:tabs>
        <w:spacing w:after="0" w:line="276" w:lineRule="auto"/>
      </w:pPr>
      <w:r w:rsidRPr="00D0126C">
        <w:t>Specializace:</w:t>
      </w:r>
      <w:r w:rsidRPr="00D0126C">
        <w:tab/>
      </w:r>
      <w:r w:rsidRPr="00D0126C">
        <w:tab/>
        <w:t>stavby vodního hospodářství a krajinného inženýrství</w:t>
      </w:r>
    </w:p>
    <w:p w:rsidR="003C4F98" w:rsidRPr="00D0126C" w:rsidRDefault="003C4F98" w:rsidP="003C4F98">
      <w:pPr>
        <w:tabs>
          <w:tab w:val="left" w:pos="2835"/>
        </w:tabs>
        <w:spacing w:line="276" w:lineRule="auto"/>
      </w:pPr>
    </w:p>
    <w:p w:rsidR="003C4F98" w:rsidRPr="003C4F98" w:rsidRDefault="003C4F98" w:rsidP="003C4F98">
      <w:pPr>
        <w:pStyle w:val="Nadpis3"/>
      </w:pPr>
      <w:bookmarkStart w:id="14" w:name="_Toc1717981"/>
      <w:bookmarkStart w:id="15" w:name="_Toc10210053"/>
      <w:r w:rsidRPr="00E973D4">
        <w:t>Členění stavby na objekty a technická a technologická zařízení</w:t>
      </w:r>
      <w:bookmarkEnd w:id="14"/>
      <w:bookmarkEnd w:id="15"/>
    </w:p>
    <w:p w:rsidR="003C4F98" w:rsidRPr="00E973D4" w:rsidRDefault="003C4F98" w:rsidP="003C4F98">
      <w:pPr>
        <w:spacing w:after="0" w:line="276" w:lineRule="auto"/>
      </w:pPr>
      <w:r w:rsidRPr="00E973D4">
        <w:t>Stavba je rozdělena</w:t>
      </w:r>
      <w:r w:rsidR="001A2CC9">
        <w:t xml:space="preserve"> na následující stavební objekty</w:t>
      </w:r>
      <w:r w:rsidRPr="00E973D4">
        <w:t xml:space="preserve"> a technologická zařízení: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01 – SANACE MEZIPILÍŘE</w:t>
      </w:r>
      <w:r>
        <w:rPr>
          <w:b/>
        </w:rPr>
        <w:t xml:space="preserve"> 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 w:rsidRPr="00E973D4">
        <w:t>Vybudování injekční těsnící clony z</w:t>
      </w:r>
      <w:r>
        <w:t> </w:t>
      </w:r>
      <w:r w:rsidRPr="00E973D4">
        <w:t>povrchu</w:t>
      </w:r>
      <w:r>
        <w:t xml:space="preserve"> levého pilíře původního pohyblivého jezu a</w:t>
      </w:r>
      <w:r w:rsidRPr="00E973D4">
        <w:t xml:space="preserve"> </w:t>
      </w:r>
      <w:proofErr w:type="spellStart"/>
      <w:r w:rsidRPr="00E973D4">
        <w:t>mezipilíře</w:t>
      </w:r>
      <w:proofErr w:type="spellEnd"/>
      <w:r w:rsidRPr="00E973D4">
        <w:t xml:space="preserve"> do podloží.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 w:rsidRPr="00E973D4">
        <w:t>Provedení nových odvodňovacích vrtů v</w:t>
      </w:r>
      <w:r>
        <w:t>e svislé stěně v </w:t>
      </w:r>
      <w:proofErr w:type="spellStart"/>
      <w:r w:rsidRPr="00E973D4">
        <w:t>mezipilíři</w:t>
      </w:r>
      <w:proofErr w:type="spellEnd"/>
      <w:r>
        <w:t xml:space="preserve"> na straně do podjezí pohyblivého jezu</w:t>
      </w:r>
      <w:r w:rsidRPr="00E973D4">
        <w:t>.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>Výměna degradovaných kamenných kvádrů ve spodní části levého pilíře původního pohyblivého jezu.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 xml:space="preserve">Snížení levého pilíře původního pohyblivého jezu z důvodů zkapacitnění jezového profilu a stabilizace </w:t>
      </w:r>
      <w:proofErr w:type="spellStart"/>
      <w:r>
        <w:t>zhlaví</w:t>
      </w:r>
      <w:proofErr w:type="spellEnd"/>
      <w:r>
        <w:t xml:space="preserve"> kotvenou dobetonávkou.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 xml:space="preserve">Očištění a </w:t>
      </w:r>
      <w:proofErr w:type="spellStart"/>
      <w:r>
        <w:t>přespárování</w:t>
      </w:r>
      <w:proofErr w:type="spellEnd"/>
      <w:r>
        <w:t xml:space="preserve"> ploch levého pilíře původního pohyblivého jezu a </w:t>
      </w:r>
      <w:proofErr w:type="spellStart"/>
      <w:r>
        <w:t>mezipilíře</w:t>
      </w:r>
      <w:proofErr w:type="spellEnd"/>
      <w:r>
        <w:t>.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02 – KONSTRUKCE ZDIVA</w:t>
      </w:r>
      <w:r>
        <w:rPr>
          <w:b/>
        </w:rPr>
        <w:t xml:space="preserve"> JEZU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 w:rsidRPr="00E973D4">
        <w:t xml:space="preserve">Očištění konstrukcí zdiva </w:t>
      </w:r>
      <w:r>
        <w:t>pravého</w:t>
      </w:r>
      <w:r w:rsidRPr="00E973D4">
        <w:t xml:space="preserve"> pilíře pohyblivého jezu, pravého pole pohyblivého jezu, středového pilíře pohyblivého jezu, levého pole původního pohyblivého jezu </w:t>
      </w:r>
      <w:r>
        <w:t>od náletů a travin</w:t>
      </w:r>
      <w:r w:rsidR="001A2CC9">
        <w:t>.</w:t>
      </w:r>
    </w:p>
    <w:p w:rsidR="003C4F98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 w:rsidRPr="00E973D4">
        <w:t>Výměna porušených (degradovaných) pískovcových kvádrů</w:t>
      </w:r>
      <w:r>
        <w:t xml:space="preserve"> v pilířích v jejich spodní části</w:t>
      </w:r>
      <w:r w:rsidRPr="00E973D4">
        <w:t>.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 xml:space="preserve">Stabilizace </w:t>
      </w:r>
      <w:proofErr w:type="spellStart"/>
      <w:r>
        <w:t>zhlaví</w:t>
      </w:r>
      <w:proofErr w:type="spellEnd"/>
      <w:r>
        <w:t xml:space="preserve"> pravého a středového pilíře.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proofErr w:type="spellStart"/>
      <w:r w:rsidRPr="00E973D4">
        <w:t>Přespárování</w:t>
      </w:r>
      <w:proofErr w:type="spellEnd"/>
      <w:r w:rsidRPr="00E973D4">
        <w:t xml:space="preserve"> výše popsaných konstrukcí zdiva.</w:t>
      </w:r>
    </w:p>
    <w:p w:rsidR="003C4F98" w:rsidRDefault="003C4F98" w:rsidP="003C4F98">
      <w:pPr>
        <w:rPr>
          <w:b/>
        </w:rPr>
      </w:pP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t>SO 03 – ÚPRAVY V POD</w:t>
      </w:r>
      <w:r>
        <w:rPr>
          <w:b/>
        </w:rPr>
        <w:t>JEZÍ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 w:rsidRPr="00E973D4">
        <w:t>Vyčištění pod</w:t>
      </w:r>
      <w:r w:rsidR="00DF4BA4">
        <w:t>jezí</w:t>
      </w:r>
      <w:r w:rsidRPr="00E973D4">
        <w:t xml:space="preserve"> od náletů a travin.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>Obnova degradovaných betonových prahů v podjezí s navázáním na opevnění koryta řeky</w:t>
      </w:r>
      <w:r w:rsidRPr="00E973D4">
        <w:t>.</w:t>
      </w:r>
    </w:p>
    <w:p w:rsidR="003C4F98" w:rsidRPr="00FC3F77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proofErr w:type="spellStart"/>
      <w:r w:rsidRPr="00460519">
        <w:rPr>
          <w:color w:val="000000"/>
        </w:rPr>
        <w:t>Přespárování</w:t>
      </w:r>
      <w:proofErr w:type="spellEnd"/>
      <w:r w:rsidRPr="00460519">
        <w:rPr>
          <w:color w:val="000000"/>
        </w:rPr>
        <w:t xml:space="preserve"> opevnění </w:t>
      </w:r>
      <w:r>
        <w:rPr>
          <w:color w:val="000000"/>
        </w:rPr>
        <w:t>v podjezí pohyblivého jezu.</w:t>
      </w:r>
    </w:p>
    <w:p w:rsidR="003C4F98" w:rsidRPr="00FC3F77" w:rsidRDefault="003C4F98" w:rsidP="00DE22C9">
      <w:pPr>
        <w:pStyle w:val="Odstavecseseznamem"/>
        <w:numPr>
          <w:ilvl w:val="0"/>
          <w:numId w:val="8"/>
        </w:numPr>
        <w:tabs>
          <w:tab w:val="left" w:pos="709"/>
        </w:tabs>
        <w:spacing w:after="160" w:line="259" w:lineRule="auto"/>
      </w:pPr>
      <w:r>
        <w:t>Zajištění dna podjezí pevného jezu</w:t>
      </w:r>
      <w:r w:rsidRPr="00E973D4">
        <w:t>.</w:t>
      </w:r>
    </w:p>
    <w:p w:rsidR="003C4F98" w:rsidRDefault="003C4F98" w:rsidP="003C4F98">
      <w:pPr>
        <w:rPr>
          <w:b/>
        </w:rPr>
      </w:pPr>
    </w:p>
    <w:p w:rsidR="000B3E25" w:rsidRDefault="000B3E25">
      <w:pPr>
        <w:spacing w:after="0"/>
        <w:jc w:val="left"/>
        <w:rPr>
          <w:b/>
        </w:rPr>
      </w:pPr>
      <w:r>
        <w:rPr>
          <w:b/>
        </w:rPr>
        <w:br w:type="page"/>
      </w:r>
    </w:p>
    <w:p w:rsidR="003C4F98" w:rsidRPr="00E973D4" w:rsidRDefault="003C4F98" w:rsidP="003C4F98">
      <w:pPr>
        <w:rPr>
          <w:b/>
        </w:rPr>
      </w:pPr>
      <w:r w:rsidRPr="00E973D4">
        <w:rPr>
          <w:b/>
        </w:rPr>
        <w:lastRenderedPageBreak/>
        <w:t>VON – VEDLEJŠÍ ROZPOČTOVÉ NÁKLADY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E973D4">
        <w:t>Vybudování zařízení staveniště a jeho odstranění po dokončení stavebních prací.</w:t>
      </w:r>
    </w:p>
    <w:p w:rsidR="003C4F98" w:rsidRPr="00E973D4" w:rsidRDefault="003C4F98" w:rsidP="00DE22C9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E973D4">
        <w:t>Vybudování dočasného sjezdu do pod</w:t>
      </w:r>
      <w:r w:rsidR="00DF4BA4">
        <w:t>jezí</w:t>
      </w:r>
      <w:r w:rsidRPr="00E973D4">
        <w:t xml:space="preserve"> a jeho odstranění po dokončení stavebních prací.</w:t>
      </w:r>
    </w:p>
    <w:p w:rsidR="003C4F98" w:rsidRPr="00EB6C6E" w:rsidRDefault="003C4F98" w:rsidP="00DE22C9">
      <w:pPr>
        <w:pStyle w:val="Odstavecseseznamem"/>
        <w:numPr>
          <w:ilvl w:val="0"/>
          <w:numId w:val="8"/>
        </w:numPr>
        <w:spacing w:after="160" w:line="259" w:lineRule="auto"/>
        <w:jc w:val="left"/>
      </w:pPr>
      <w:r w:rsidRPr="00E973D4">
        <w:t>Vybudování dočasné jímky v</w:t>
      </w:r>
      <w:r>
        <w:t> </w:t>
      </w:r>
      <w:r w:rsidRPr="00E973D4">
        <w:t>nadjezí</w:t>
      </w:r>
      <w:r>
        <w:t xml:space="preserve"> (provizorní nasazená jímka) atd.</w:t>
      </w:r>
    </w:p>
    <w:p w:rsidR="003C4F98" w:rsidRPr="003C4F98" w:rsidRDefault="003C4F98" w:rsidP="003C4F98">
      <w:pPr>
        <w:pStyle w:val="Nadpis3"/>
      </w:pPr>
      <w:bookmarkStart w:id="16" w:name="_Toc475426810"/>
      <w:bookmarkStart w:id="17" w:name="_Toc7162300"/>
      <w:bookmarkStart w:id="18" w:name="_Toc10210054"/>
      <w:r w:rsidRPr="00B05318">
        <w:t>Odvodnění staveniště</w:t>
      </w:r>
      <w:bookmarkEnd w:id="16"/>
      <w:bookmarkEnd w:id="17"/>
      <w:bookmarkEnd w:id="18"/>
    </w:p>
    <w:p w:rsidR="00DF4BA4" w:rsidRPr="00B05318" w:rsidRDefault="00DF4BA4" w:rsidP="00DF4BA4">
      <w:pPr>
        <w:rPr>
          <w:szCs w:val="24"/>
        </w:rPr>
      </w:pPr>
      <w:bookmarkStart w:id="19" w:name="_Toc475426812"/>
      <w:bookmarkStart w:id="20" w:name="_Toc7162302"/>
      <w:r w:rsidRPr="00B05318">
        <w:rPr>
          <w:szCs w:val="24"/>
        </w:rPr>
        <w:t xml:space="preserve">Provedení stavby se předpokládá v období minimálních průtoků (letní a podzimní měsíce). Během realizace stavby, především při provádění injektáže </w:t>
      </w:r>
      <w:proofErr w:type="spellStart"/>
      <w:r w:rsidRPr="00B05318">
        <w:rPr>
          <w:szCs w:val="24"/>
        </w:rPr>
        <w:t>mezipilíře</w:t>
      </w:r>
      <w:proofErr w:type="spellEnd"/>
      <w:r w:rsidRPr="00B05318">
        <w:rPr>
          <w:szCs w:val="24"/>
        </w:rPr>
        <w:t xml:space="preserve"> z návodní strany, bude prováděno při vypuštěné zdrži (eliminace rizika vyplavení </w:t>
      </w:r>
      <w:proofErr w:type="spellStart"/>
      <w:r w:rsidRPr="00B05318">
        <w:rPr>
          <w:szCs w:val="24"/>
        </w:rPr>
        <w:t>jílocementové</w:t>
      </w:r>
      <w:proofErr w:type="spellEnd"/>
      <w:r w:rsidRPr="00B05318">
        <w:rPr>
          <w:szCs w:val="24"/>
        </w:rPr>
        <w:t xml:space="preserve"> směsi do zdrže). Voda bude převáděna pravým polem pohyblivého jezu.</w:t>
      </w:r>
    </w:p>
    <w:p w:rsidR="00DF4BA4" w:rsidRDefault="00DF4BA4" w:rsidP="00DF4BA4">
      <w:pPr>
        <w:rPr>
          <w:szCs w:val="24"/>
        </w:rPr>
      </w:pPr>
      <w:r w:rsidRPr="00B05318">
        <w:rPr>
          <w:szCs w:val="24"/>
        </w:rPr>
        <w:t xml:space="preserve">Navržená provizorní nasazená jímka bude odvodňována čerpáním na dobu nezbytně nutnou. </w:t>
      </w:r>
      <w:r w:rsidRPr="00B05318">
        <w:t xml:space="preserve">Doplňující odvodnění bude v případě potřeby realizováno pomocí dočasně zřízené čerpací jímky osazené kalovým čerpadlem. </w:t>
      </w:r>
      <w:r w:rsidRPr="00B05318">
        <w:rPr>
          <w:szCs w:val="24"/>
        </w:rPr>
        <w:t>Při zvýšených průtocích budou práce přerušeny.</w:t>
      </w:r>
    </w:p>
    <w:p w:rsidR="00DF4BA4" w:rsidRPr="00B05318" w:rsidRDefault="00DF4BA4" w:rsidP="00DF4BA4">
      <w:pPr>
        <w:rPr>
          <w:szCs w:val="24"/>
        </w:rPr>
      </w:pPr>
      <w:r>
        <w:rPr>
          <w:szCs w:val="24"/>
        </w:rPr>
        <w:t>Pro spárování ploch v nadjezí a pro práce v podjezí bude využíváno, pro jednotlivé etapy výstavby, provizorních jímek (pytle s pískem).</w:t>
      </w:r>
    </w:p>
    <w:p w:rsidR="00DF4BA4" w:rsidRPr="00B05318" w:rsidRDefault="00DF4BA4" w:rsidP="00DF4BA4">
      <w:pPr>
        <w:rPr>
          <w:szCs w:val="24"/>
        </w:rPr>
      </w:pPr>
      <w:r w:rsidRPr="00B05318">
        <w:rPr>
          <w:szCs w:val="24"/>
        </w:rPr>
        <w:t>Během prací v</w:t>
      </w:r>
      <w:r>
        <w:rPr>
          <w:szCs w:val="24"/>
        </w:rPr>
        <w:t> </w:t>
      </w:r>
      <w:r w:rsidRPr="00B05318">
        <w:rPr>
          <w:szCs w:val="24"/>
        </w:rPr>
        <w:t>po</w:t>
      </w:r>
      <w:r>
        <w:rPr>
          <w:szCs w:val="24"/>
        </w:rPr>
        <w:t xml:space="preserve">djezí </w:t>
      </w:r>
      <w:r w:rsidRPr="00B05318">
        <w:rPr>
          <w:szCs w:val="24"/>
        </w:rPr>
        <w:t>(spárování v podjezí pohyblivého jezu, betonáž prahu atd.) bude pravé pole pohyblivého jezu uzavřeno. Voda bude převáděna přes rybí přechod, při vyšších průtocích i přes pole původního pevného jezu.</w:t>
      </w:r>
      <w:r>
        <w:rPr>
          <w:szCs w:val="24"/>
        </w:rPr>
        <w:t xml:space="preserve"> Pro zkapacitnění rybího přechod a snížení hladiny v nadjezí se předpokládá rozebrání, vyhražení jednotlivých dřevěných přepážek.</w:t>
      </w:r>
    </w:p>
    <w:p w:rsidR="003C4F98" w:rsidRPr="003C4F98" w:rsidRDefault="003C4F98" w:rsidP="003C4F98">
      <w:pPr>
        <w:pStyle w:val="Nadpis3"/>
      </w:pPr>
      <w:bookmarkStart w:id="21" w:name="_Toc10210055"/>
      <w:r w:rsidRPr="003C4F98">
        <w:t>Postup prací</w:t>
      </w:r>
      <w:bookmarkEnd w:id="19"/>
      <w:bookmarkEnd w:id="20"/>
      <w:bookmarkEnd w:id="21"/>
    </w:p>
    <w:p w:rsidR="003C4F98" w:rsidRPr="003C4F98" w:rsidRDefault="003C4F98" w:rsidP="003C4F98">
      <w:pPr>
        <w:spacing w:before="120" w:after="0" w:line="276" w:lineRule="auto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Dodavatel bude provádět stavební činnost pouze v rozsahu staveniště nebo na plochách dohodnutých na jednáních; současně bude instruovat své zaměstnance, aby nevstupovali na ostatní pozemky a dodržovali místní nařízení a předpisy. 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Zhotovitel stavby při předání stavby potvrdí, že jsou mu známy podmínky pro provádění díla v doteku s provozními povinnostmi objednatele a že v rámci realizace díla nebude bránit objednateli provádět jeho nezbytné úkony při výkonu činnosti.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Zde uvádíme předpokládaný postup hlavních stavebních prací v závislosti na převádění vody: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Přípravné práce: plná zdrž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Vybudování zařízení staveniště</w:t>
      </w:r>
      <w:r w:rsidR="001A2CC9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Provedení provizorního sjezdu do pod</w:t>
      </w:r>
      <w:r w:rsidR="00DF4BA4">
        <w:rPr>
          <w:rFonts w:eastAsia="Calibri"/>
          <w:szCs w:val="22"/>
          <w:lang w:eastAsia="en-US"/>
        </w:rPr>
        <w:t>jezí</w:t>
      </w:r>
      <w:r w:rsidRPr="003C4F98">
        <w:rPr>
          <w:rFonts w:eastAsia="Calibri"/>
          <w:szCs w:val="22"/>
          <w:lang w:eastAsia="en-US"/>
        </w:rPr>
        <w:t xml:space="preserve">. 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Umístění kontejneru pod levým polem původního pohyblivého jezu.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Při vypuštěné zdrži: - voda se převádí pravým jezovým polem pohyblivého jezu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Vybudování provizorní nasazené jímky v nadjezí. Její odstranění po dokončení prací uvedených u SO01 a SO02.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kontejneru po dokončení SO01.</w:t>
      </w:r>
    </w:p>
    <w:p w:rsid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 xml:space="preserve">SO01: Sanace </w:t>
      </w:r>
      <w:proofErr w:type="spellStart"/>
      <w:r w:rsidRPr="003C4F98">
        <w:rPr>
          <w:rFonts w:eastAsia="Calibri"/>
          <w:i/>
          <w:szCs w:val="22"/>
          <w:lang w:eastAsia="en-US"/>
        </w:rPr>
        <w:t>mezipilíře</w:t>
      </w:r>
      <w:proofErr w:type="spellEnd"/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Snížení úrovně levého pilíře původního pohyblivého jezu</w:t>
      </w:r>
      <w:r w:rsidR="001A2CC9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Vrtné práce a injekční práce v místě levého pilíře původního pohyblivého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levého pilíře kotvenou </w:t>
      </w:r>
      <w:proofErr w:type="spellStart"/>
      <w:r w:rsidRPr="003C4F98">
        <w:rPr>
          <w:rFonts w:eastAsia="Calibri"/>
          <w:szCs w:val="22"/>
          <w:lang w:eastAsia="en-US"/>
        </w:rPr>
        <w:t>železobetonou</w:t>
      </w:r>
      <w:proofErr w:type="spellEnd"/>
      <w:r w:rsidRPr="003C4F98">
        <w:rPr>
          <w:rFonts w:eastAsia="Calibri"/>
          <w:szCs w:val="22"/>
          <w:lang w:eastAsia="en-US"/>
        </w:rPr>
        <w:t xml:space="preserve"> dobetonávkou.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Spárování ploch levého pilíře původního pevného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 xml:space="preserve"> z návodní strany.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SO02: Konstrukce zdiva jezu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pravého a středového pilíře kotvenou železobetonovou dobetonávkou (bourací práce, kotevní prvky, výztuž bednění, betonáž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>).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plochy levého jezového pole původní</w:t>
      </w:r>
      <w:r w:rsidR="00DF799A">
        <w:rPr>
          <w:rFonts w:eastAsia="Calibri"/>
          <w:szCs w:val="22"/>
          <w:lang w:eastAsia="en-US"/>
        </w:rPr>
        <w:t>ho</w:t>
      </w:r>
      <w:r w:rsidRPr="003C4F98">
        <w:rPr>
          <w:rFonts w:eastAsia="Calibri"/>
          <w:szCs w:val="22"/>
          <w:lang w:eastAsia="en-US"/>
        </w:rPr>
        <w:t xml:space="preserve"> pohyblivého jezu.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středového pilíře z návodní strany.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svislé plochy pravého pilíře, v běžném provozním stavu zatopeném.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SO03: Úpravy v podjezí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Obnova opevnění dna koryta řeky pod pevným jezem.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Při snížené hladině ve zdrži: - voda se převádí rybím přechod</w:t>
      </w:r>
      <w:r w:rsidR="003C29AE">
        <w:rPr>
          <w:rFonts w:eastAsia="Calibri"/>
          <w:b/>
          <w:szCs w:val="22"/>
          <w:lang w:eastAsia="en-US"/>
        </w:rPr>
        <w:t>em, při zvýšených průtocích pře</w:t>
      </w:r>
      <w:r w:rsidR="00FD7076">
        <w:rPr>
          <w:rFonts w:eastAsia="Calibri"/>
          <w:b/>
          <w:szCs w:val="22"/>
          <w:lang w:eastAsia="en-US"/>
        </w:rPr>
        <w:t>s</w:t>
      </w:r>
      <w:r w:rsidRPr="003C4F98">
        <w:rPr>
          <w:rFonts w:eastAsia="Calibri"/>
          <w:b/>
          <w:szCs w:val="22"/>
          <w:lang w:eastAsia="en-US"/>
        </w:rPr>
        <w:t xml:space="preserve"> původní pevný jez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 xml:space="preserve">SO01: Sanace </w:t>
      </w:r>
      <w:proofErr w:type="spellStart"/>
      <w:r w:rsidRPr="003C4F98">
        <w:rPr>
          <w:rFonts w:eastAsia="Calibri"/>
          <w:i/>
          <w:szCs w:val="22"/>
          <w:lang w:eastAsia="en-US"/>
        </w:rPr>
        <w:t>mezipilíře</w:t>
      </w:r>
      <w:proofErr w:type="spellEnd"/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Stabilizace </w:t>
      </w:r>
      <w:proofErr w:type="spellStart"/>
      <w:r w:rsidRPr="003C4F98">
        <w:rPr>
          <w:rFonts w:eastAsia="Calibri"/>
          <w:szCs w:val="22"/>
          <w:lang w:eastAsia="en-US"/>
        </w:rPr>
        <w:t>zhlaví</w:t>
      </w:r>
      <w:proofErr w:type="spellEnd"/>
      <w:r w:rsidRPr="003C4F98">
        <w:rPr>
          <w:rFonts w:eastAsia="Calibri"/>
          <w:szCs w:val="22"/>
          <w:lang w:eastAsia="en-US"/>
        </w:rPr>
        <w:t xml:space="preserve"> levého pilíře kotvenou </w:t>
      </w:r>
      <w:proofErr w:type="spellStart"/>
      <w:r w:rsidRPr="003C4F98">
        <w:rPr>
          <w:rFonts w:eastAsia="Calibri"/>
          <w:szCs w:val="22"/>
          <w:lang w:eastAsia="en-US"/>
        </w:rPr>
        <w:t>železobetonou</w:t>
      </w:r>
      <w:proofErr w:type="spellEnd"/>
      <w:r w:rsidRPr="003C4F98">
        <w:rPr>
          <w:rFonts w:eastAsia="Calibri"/>
          <w:szCs w:val="22"/>
          <w:lang w:eastAsia="en-US"/>
        </w:rPr>
        <w:t xml:space="preserve"> dobetonávkou.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Náhrada degradovaného zdiva levého pilíře.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Odvodnění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Očištění a </w:t>
      </w:r>
      <w:proofErr w:type="spellStart"/>
      <w:r w:rsidRPr="003C4F98">
        <w:rPr>
          <w:rFonts w:eastAsia="Calibri"/>
          <w:szCs w:val="22"/>
          <w:lang w:eastAsia="en-US"/>
        </w:rPr>
        <w:t>přespárování</w:t>
      </w:r>
      <w:proofErr w:type="spellEnd"/>
      <w:r w:rsidRPr="003C4F98">
        <w:rPr>
          <w:rFonts w:eastAsia="Calibri"/>
          <w:szCs w:val="22"/>
          <w:lang w:eastAsia="en-US"/>
        </w:rPr>
        <w:t xml:space="preserve"> zbývajících ploch levého pilíře původního pohyblivého jezu a </w:t>
      </w:r>
      <w:proofErr w:type="spellStart"/>
      <w:r w:rsidRPr="003C4F98">
        <w:rPr>
          <w:rFonts w:eastAsia="Calibri"/>
          <w:szCs w:val="22"/>
          <w:lang w:eastAsia="en-US"/>
        </w:rPr>
        <w:t>mezipilíře</w:t>
      </w:r>
      <w:proofErr w:type="spellEnd"/>
      <w:r w:rsidRPr="003C4F98">
        <w:rPr>
          <w:rFonts w:eastAsia="Calibri"/>
          <w:szCs w:val="22"/>
          <w:lang w:eastAsia="en-US"/>
        </w:rPr>
        <w:t>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SO02: Konstrukce zdiva jezu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plochy pravého jezového pole pohyblivého jezu.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Náhrada degradovaného zdiva středového a pravého pilíře.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zbývajících plocha středového pilíře.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Očištění a spárování zbývajících svislých ploch pravého pilíře.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Obnova degradovaných betonových prahů v podjezí pohyblivého jezu s obnovou navazujícího opevnění dna.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 xml:space="preserve">Očištění a </w:t>
      </w:r>
      <w:proofErr w:type="spellStart"/>
      <w:r w:rsidRPr="003C4F98">
        <w:rPr>
          <w:rFonts w:eastAsia="Calibri"/>
          <w:szCs w:val="22"/>
          <w:lang w:eastAsia="en-US"/>
        </w:rPr>
        <w:t>přespárování</w:t>
      </w:r>
      <w:proofErr w:type="spellEnd"/>
      <w:r w:rsidRPr="003C4F98">
        <w:rPr>
          <w:rFonts w:eastAsia="Calibri"/>
          <w:szCs w:val="22"/>
          <w:lang w:eastAsia="en-US"/>
        </w:rPr>
        <w:t xml:space="preserve"> dna podjezí pohyblivého jezu a zídky vývaru.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b/>
          <w:szCs w:val="22"/>
          <w:lang w:eastAsia="en-US"/>
        </w:rPr>
      </w:pPr>
      <w:r w:rsidRPr="003C4F98">
        <w:rPr>
          <w:rFonts w:eastAsia="Calibri"/>
          <w:b/>
          <w:szCs w:val="22"/>
          <w:lang w:eastAsia="en-US"/>
        </w:rPr>
        <w:t>Dokončovací práce: plná zdrž</w:t>
      </w:r>
    </w:p>
    <w:p w:rsidR="003C4F98" w:rsidRPr="003C4F98" w:rsidRDefault="003C4F98" w:rsidP="003C4F98">
      <w:pPr>
        <w:spacing w:before="120" w:after="0" w:line="276" w:lineRule="auto"/>
        <w:rPr>
          <w:rFonts w:eastAsia="Calibri"/>
          <w:i/>
          <w:szCs w:val="22"/>
          <w:lang w:eastAsia="en-US"/>
        </w:rPr>
      </w:pPr>
      <w:r w:rsidRPr="003C4F98">
        <w:rPr>
          <w:rFonts w:eastAsia="Calibri"/>
          <w:i/>
          <w:szCs w:val="22"/>
          <w:lang w:eastAsia="en-US"/>
        </w:rPr>
        <w:t>VON: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provizorního sjezdu do pod</w:t>
      </w:r>
      <w:r w:rsidR="00DF4BA4">
        <w:rPr>
          <w:rFonts w:eastAsia="Calibri"/>
          <w:szCs w:val="22"/>
          <w:lang w:eastAsia="en-US"/>
        </w:rPr>
        <w:t>jezí</w:t>
      </w:r>
      <w:r w:rsidRPr="003C4F98">
        <w:rPr>
          <w:rFonts w:eastAsia="Calibri"/>
          <w:szCs w:val="22"/>
          <w:lang w:eastAsia="en-US"/>
        </w:rPr>
        <w:t xml:space="preserve">. 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Odstranění zařízení staveniště.</w:t>
      </w:r>
    </w:p>
    <w:p w:rsidR="003C4F98" w:rsidRPr="003C4F98" w:rsidRDefault="003C4F98" w:rsidP="00DE22C9">
      <w:pPr>
        <w:numPr>
          <w:ilvl w:val="0"/>
          <w:numId w:val="9"/>
        </w:numPr>
        <w:spacing w:before="120" w:after="0" w:line="276" w:lineRule="auto"/>
        <w:contextualSpacing/>
        <w:jc w:val="left"/>
        <w:rPr>
          <w:rFonts w:eastAsia="Calibri"/>
          <w:szCs w:val="22"/>
          <w:lang w:eastAsia="en-US"/>
        </w:rPr>
      </w:pPr>
      <w:r w:rsidRPr="003C4F98">
        <w:rPr>
          <w:rFonts w:eastAsia="Calibri"/>
          <w:szCs w:val="22"/>
          <w:lang w:eastAsia="en-US"/>
        </w:rPr>
        <w:t>Uvedení ploch do původního stavu.</w:t>
      </w:r>
    </w:p>
    <w:p w:rsidR="003C4F98" w:rsidRDefault="003C4F98" w:rsidP="003C4F98">
      <w:pPr>
        <w:ind w:left="720"/>
        <w:rPr>
          <w:b/>
          <w:bCs/>
          <w:sz w:val="28"/>
          <w:szCs w:val="32"/>
        </w:rPr>
      </w:pPr>
    </w:p>
    <w:p w:rsidR="003C4F98" w:rsidRDefault="000B3E25" w:rsidP="003C4F98">
      <w:pPr>
        <w:pStyle w:val="Nadpis2"/>
      </w:pPr>
      <w:bookmarkStart w:id="22" w:name="_Toc10210056"/>
      <w:r>
        <w:lastRenderedPageBreak/>
        <w:t>POVODŇOVÝ PLÁN</w:t>
      </w:r>
      <w:bookmarkEnd w:id="22"/>
    </w:p>
    <w:p w:rsidR="003C4F98" w:rsidRDefault="003C4F98" w:rsidP="003C4F98">
      <w:pPr>
        <w:pStyle w:val="Nadpis3"/>
      </w:pPr>
      <w:bookmarkStart w:id="23" w:name="_Toc10210057"/>
      <w:r>
        <w:t>Účel povodňového plánu</w:t>
      </w:r>
      <w:bookmarkEnd w:id="23"/>
    </w:p>
    <w:p w:rsidR="003C4F98" w:rsidRDefault="003C4F98" w:rsidP="003C4F98">
      <w:r>
        <w:t xml:space="preserve">Povodňový plán řeší opatření nutná k odvrácení nebo zmírnění povodňových škod při provádění stavebních prací. Návrh povodňového plánu je vypracován v souladu s §71 </w:t>
      </w:r>
      <w:proofErr w:type="spellStart"/>
      <w:proofErr w:type="gramStart"/>
      <w:r>
        <w:t>zák.č</w:t>
      </w:r>
      <w:proofErr w:type="spellEnd"/>
      <w:r>
        <w:t>.</w:t>
      </w:r>
      <w:proofErr w:type="gramEnd"/>
      <w:r>
        <w:t xml:space="preserve"> 254/2001 </w:t>
      </w:r>
      <w:proofErr w:type="spellStart"/>
      <w:r>
        <w:t>Sb</w:t>
      </w:r>
      <w:proofErr w:type="spellEnd"/>
      <w:r>
        <w:t xml:space="preserve"> (vodní zákon) a v souladu s TNV 75 2931.</w:t>
      </w:r>
    </w:p>
    <w:p w:rsidR="003C4F98" w:rsidRDefault="003C4F98" w:rsidP="003C4F98">
      <w:r>
        <w:t>Povodní se rozumí přechodné výrazné zvýšení úrovně hladiny ve vodním toku, při němž hrozí vylití vody z koryta nebo při kterém se voda vylévá a může způsobit škody. Za nebezpečí povodně se považuje situace při dovršení určitého vodního stavu nebo při očekávaném náhlém tání sněhu a při srážkách velké intenzity.</w:t>
      </w:r>
    </w:p>
    <w:p w:rsidR="003C4F98" w:rsidRDefault="003C4F98" w:rsidP="003C4F98">
      <w:pPr>
        <w:pStyle w:val="Nadpis3"/>
      </w:pPr>
      <w:bookmarkStart w:id="24" w:name="_Toc10210058"/>
      <w:r>
        <w:t>Rozsah platnosti</w:t>
      </w:r>
      <w:bookmarkEnd w:id="24"/>
    </w:p>
    <w:p w:rsidR="003C4F98" w:rsidRDefault="003C4F98" w:rsidP="003C4F98">
      <w:r>
        <w:t>Opatření uvedená v povodňovém plánu se týkají pracovišť stavby, která mohou být ohrožena zvýšenými průtoky ve vodoteči.</w:t>
      </w:r>
    </w:p>
    <w:p w:rsidR="003C4F98" w:rsidRDefault="003C4F98" w:rsidP="003C4F98">
      <w:r>
        <w:t>Povodňový plán je platný od zahájení do ukončení stavby.</w:t>
      </w:r>
    </w:p>
    <w:p w:rsidR="003C4F98" w:rsidRDefault="003C4F98" w:rsidP="003C4F98">
      <w:r>
        <w:t xml:space="preserve">Způsob vypořádání škod vzniklých průchodem velkých vod řeší smlouva o provedení stavebních prací mezi investorem a zhotovitelem stavby. Zařízení staveniště </w:t>
      </w:r>
      <w:r w:rsidR="000B3E25">
        <w:t>je</w:t>
      </w:r>
      <w:r>
        <w:t xml:space="preserve"> umístěno na takové výškové úrovni, že nemůže být ohroženo průchodem velkých vod.</w:t>
      </w:r>
    </w:p>
    <w:p w:rsidR="00DD0C33" w:rsidRDefault="00DD0C33" w:rsidP="00DD0C33">
      <w:pPr>
        <w:pStyle w:val="Nadpis3"/>
      </w:pPr>
      <w:bookmarkStart w:id="25" w:name="_Toc7162252"/>
      <w:bookmarkStart w:id="26" w:name="_Toc10210059"/>
      <w:r w:rsidRPr="00C46B5E">
        <w:t>Hydrologické poměry</w:t>
      </w:r>
      <w:bookmarkEnd w:id="25"/>
      <w:bookmarkEnd w:id="26"/>
    </w:p>
    <w:p w:rsidR="00DD0C33" w:rsidRPr="00AA1436" w:rsidRDefault="00DD0C33" w:rsidP="00DD0C33">
      <w:r>
        <w:t xml:space="preserve">Údaje jsou převzaté z MŘ. Základní hydrologické údaje pro tok </w:t>
      </w:r>
      <w:proofErr w:type="spellStart"/>
      <w:r>
        <w:t>Mandava</w:t>
      </w:r>
      <w:proofErr w:type="spellEnd"/>
      <w:r>
        <w:t xml:space="preserve"> v profilu „jez Varnsdorf“ poskytl ČHMÚ Ústí nad Labem dne </w:t>
      </w:r>
      <w:proofErr w:type="gramStart"/>
      <w:r>
        <w:t>10.3.2009</w:t>
      </w:r>
      <w:proofErr w:type="gramEnd"/>
      <w:r>
        <w:t>.</w:t>
      </w:r>
    </w:p>
    <w:p w:rsidR="00DD0C33" w:rsidRPr="00AA1436" w:rsidRDefault="00DD0C33" w:rsidP="00DD0C33">
      <w:pPr>
        <w:pStyle w:val="Odstavecseseznamem"/>
        <w:numPr>
          <w:ilvl w:val="0"/>
          <w:numId w:val="12"/>
        </w:numPr>
        <w:spacing w:before="120" w:after="0" w:line="276" w:lineRule="auto"/>
        <w:jc w:val="left"/>
      </w:pPr>
      <w:r w:rsidRPr="00AA1436">
        <w:t>Plocha povodí: 84,3 km</w:t>
      </w:r>
      <w:r w:rsidR="00413F6B" w:rsidRPr="00413F6B">
        <w:rPr>
          <w:vertAlign w:val="superscript"/>
        </w:rPr>
        <w:t>2</w:t>
      </w:r>
    </w:p>
    <w:p w:rsidR="00DD0C33" w:rsidRDefault="00DD0C33" w:rsidP="00DD0C33">
      <w:pPr>
        <w:pStyle w:val="Odstavecseseznamem"/>
        <w:numPr>
          <w:ilvl w:val="0"/>
          <w:numId w:val="12"/>
        </w:numPr>
        <w:spacing w:before="120" w:after="0" w:line="276" w:lineRule="auto"/>
        <w:jc w:val="left"/>
      </w:pPr>
      <w:r w:rsidRPr="00AA1436">
        <w:t xml:space="preserve">Průměrná dlouhodobá roční hodnota průtoku </w:t>
      </w:r>
      <w:proofErr w:type="spellStart"/>
      <w:r w:rsidRPr="00AA1436">
        <w:t>Q</w:t>
      </w:r>
      <w:r w:rsidRPr="006907AD">
        <w:rPr>
          <w:vertAlign w:val="subscript"/>
        </w:rPr>
        <w:t>a</w:t>
      </w:r>
      <w:proofErr w:type="spellEnd"/>
      <w:r w:rsidRPr="00AA1436">
        <w:t>: 1050 l/s</w:t>
      </w:r>
    </w:p>
    <w:p w:rsidR="00DD0C33" w:rsidRPr="00AA1436" w:rsidRDefault="00DD0C33" w:rsidP="00DD0C33">
      <w:pPr>
        <w:pStyle w:val="Odstavecseseznamem"/>
      </w:pPr>
    </w:p>
    <w:p w:rsidR="00DD0C33" w:rsidRPr="00AA1436" w:rsidRDefault="00DD0C33" w:rsidP="00DD0C33">
      <w:pPr>
        <w:pStyle w:val="Odstavecseseznamem"/>
        <w:numPr>
          <w:ilvl w:val="0"/>
          <w:numId w:val="12"/>
        </w:numPr>
        <w:spacing w:before="120" w:after="0" w:line="276" w:lineRule="auto"/>
        <w:jc w:val="left"/>
      </w:pPr>
      <w:r w:rsidRPr="00AA1436">
        <w:t>N-leté průtoky Q</w:t>
      </w:r>
      <w:r w:rsidRPr="006907AD">
        <w:rPr>
          <w:vertAlign w:val="subscript"/>
        </w:rPr>
        <w:t>N</w:t>
      </w:r>
      <w:r w:rsidRPr="00B85BCE">
        <w:t>:</w:t>
      </w: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111"/>
        <w:gridCol w:w="1111"/>
        <w:gridCol w:w="1111"/>
        <w:gridCol w:w="1111"/>
        <w:gridCol w:w="1111"/>
        <w:gridCol w:w="1111"/>
        <w:gridCol w:w="1112"/>
        <w:gridCol w:w="708"/>
      </w:tblGrid>
      <w:tr w:rsidR="00DD0C33" w:rsidTr="00D06A08">
        <w:tc>
          <w:tcPr>
            <w:tcW w:w="1063" w:type="dxa"/>
          </w:tcPr>
          <w:p w:rsidR="00DD0C33" w:rsidRDefault="00DD0C33" w:rsidP="00D06A08">
            <w:pPr>
              <w:rPr>
                <w:lang w:val="en-US"/>
              </w:rPr>
            </w:pPr>
            <w:r>
              <w:t xml:space="preserve">N </w:t>
            </w: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roky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1111" w:type="dxa"/>
          </w:tcPr>
          <w:p w:rsidR="00DD0C33" w:rsidRDefault="00DD0C33" w:rsidP="00D06A08">
            <w:r>
              <w:t>1</w:t>
            </w:r>
          </w:p>
        </w:tc>
        <w:tc>
          <w:tcPr>
            <w:tcW w:w="1111" w:type="dxa"/>
          </w:tcPr>
          <w:p w:rsidR="00DD0C33" w:rsidRDefault="00DD0C33" w:rsidP="00D06A08">
            <w:r>
              <w:t>2</w:t>
            </w:r>
          </w:p>
        </w:tc>
        <w:tc>
          <w:tcPr>
            <w:tcW w:w="1111" w:type="dxa"/>
          </w:tcPr>
          <w:p w:rsidR="00DD0C33" w:rsidRDefault="00DD0C33" w:rsidP="00D06A08">
            <w:r>
              <w:t>5</w:t>
            </w:r>
          </w:p>
        </w:tc>
        <w:tc>
          <w:tcPr>
            <w:tcW w:w="1111" w:type="dxa"/>
          </w:tcPr>
          <w:p w:rsidR="00DD0C33" w:rsidRDefault="00DD0C33" w:rsidP="00D06A08">
            <w:r>
              <w:t>10</w:t>
            </w:r>
          </w:p>
        </w:tc>
        <w:tc>
          <w:tcPr>
            <w:tcW w:w="1111" w:type="dxa"/>
          </w:tcPr>
          <w:p w:rsidR="00DD0C33" w:rsidRDefault="00DD0C33" w:rsidP="00D06A08">
            <w:r>
              <w:t>20</w:t>
            </w:r>
          </w:p>
        </w:tc>
        <w:tc>
          <w:tcPr>
            <w:tcW w:w="1111" w:type="dxa"/>
          </w:tcPr>
          <w:p w:rsidR="00DD0C33" w:rsidRDefault="00DD0C33" w:rsidP="00D06A08">
            <w:r>
              <w:t>50</w:t>
            </w:r>
          </w:p>
        </w:tc>
        <w:tc>
          <w:tcPr>
            <w:tcW w:w="1112" w:type="dxa"/>
          </w:tcPr>
          <w:p w:rsidR="00DD0C33" w:rsidRDefault="00DD0C33" w:rsidP="00D06A08">
            <w:r>
              <w:t>100</w:t>
            </w:r>
          </w:p>
        </w:tc>
        <w:tc>
          <w:tcPr>
            <w:tcW w:w="708" w:type="dxa"/>
          </w:tcPr>
          <w:p w:rsidR="00DD0C33" w:rsidRDefault="00DD0C33" w:rsidP="00D06A08">
            <w:r>
              <w:t>Třída</w:t>
            </w:r>
          </w:p>
        </w:tc>
      </w:tr>
      <w:tr w:rsidR="00DD0C33" w:rsidTr="00D06A08">
        <w:tc>
          <w:tcPr>
            <w:tcW w:w="1063" w:type="dxa"/>
          </w:tcPr>
          <w:p w:rsidR="00DD0C33" w:rsidRDefault="00DD0C33" w:rsidP="00D06A08">
            <w:r>
              <w:t>Q</w:t>
            </w:r>
            <w:r>
              <w:rPr>
                <w:vertAlign w:val="subscript"/>
              </w:rPr>
              <w:t xml:space="preserve">N </w:t>
            </w:r>
            <w:r>
              <w:t>[m</w:t>
            </w:r>
            <w:r>
              <w:rPr>
                <w:vertAlign w:val="superscript"/>
              </w:rPr>
              <w:t>3</w:t>
            </w:r>
            <w:r>
              <w:t>/s]</w:t>
            </w:r>
          </w:p>
        </w:tc>
        <w:tc>
          <w:tcPr>
            <w:tcW w:w="1111" w:type="dxa"/>
          </w:tcPr>
          <w:p w:rsidR="00DD0C33" w:rsidRDefault="00DD0C33" w:rsidP="00D06A08">
            <w:r>
              <w:t>16,1</w:t>
            </w:r>
          </w:p>
        </w:tc>
        <w:tc>
          <w:tcPr>
            <w:tcW w:w="1111" w:type="dxa"/>
          </w:tcPr>
          <w:p w:rsidR="00DD0C33" w:rsidRDefault="00DD0C33" w:rsidP="00D06A08">
            <w:r>
              <w:t>23,3</w:t>
            </w:r>
          </w:p>
        </w:tc>
        <w:tc>
          <w:tcPr>
            <w:tcW w:w="1111" w:type="dxa"/>
          </w:tcPr>
          <w:p w:rsidR="00DD0C33" w:rsidRDefault="00DD0C33" w:rsidP="00D06A08">
            <w:r>
              <w:t>31,4</w:t>
            </w:r>
          </w:p>
        </w:tc>
        <w:tc>
          <w:tcPr>
            <w:tcW w:w="1111" w:type="dxa"/>
          </w:tcPr>
          <w:p w:rsidR="00DD0C33" w:rsidRDefault="00DD0C33" w:rsidP="00D06A08">
            <w:r>
              <w:t>38,1</w:t>
            </w:r>
          </w:p>
        </w:tc>
        <w:tc>
          <w:tcPr>
            <w:tcW w:w="1111" w:type="dxa"/>
          </w:tcPr>
          <w:p w:rsidR="00DD0C33" w:rsidRDefault="00DD0C33" w:rsidP="00D06A08">
            <w:r>
              <w:t>53,3</w:t>
            </w:r>
          </w:p>
        </w:tc>
        <w:tc>
          <w:tcPr>
            <w:tcW w:w="1111" w:type="dxa"/>
          </w:tcPr>
          <w:p w:rsidR="00DD0C33" w:rsidRDefault="00DD0C33" w:rsidP="00D06A08">
            <w:r>
              <w:t>73,4</w:t>
            </w:r>
          </w:p>
        </w:tc>
        <w:tc>
          <w:tcPr>
            <w:tcW w:w="1112" w:type="dxa"/>
          </w:tcPr>
          <w:p w:rsidR="00DD0C33" w:rsidRDefault="00DD0C33" w:rsidP="00D06A08">
            <w:r>
              <w:t>95,2</w:t>
            </w:r>
          </w:p>
        </w:tc>
        <w:tc>
          <w:tcPr>
            <w:tcW w:w="708" w:type="dxa"/>
          </w:tcPr>
          <w:p w:rsidR="00DD0C33" w:rsidRDefault="00DD0C33" w:rsidP="00D06A08">
            <w:r>
              <w:t>III.</w:t>
            </w:r>
          </w:p>
        </w:tc>
      </w:tr>
    </w:tbl>
    <w:p w:rsidR="00DD0C33" w:rsidRPr="00AA1436" w:rsidRDefault="00DD0C33" w:rsidP="00DD0C33"/>
    <w:p w:rsidR="00DD0C33" w:rsidRPr="00AA1436" w:rsidRDefault="00DD0C33" w:rsidP="00DD0C33">
      <w:pPr>
        <w:pStyle w:val="Odstavecseseznamem"/>
        <w:numPr>
          <w:ilvl w:val="0"/>
          <w:numId w:val="12"/>
        </w:numPr>
        <w:spacing w:before="120" w:after="0" w:line="276" w:lineRule="auto"/>
        <w:jc w:val="left"/>
      </w:pPr>
      <w:r w:rsidRPr="00AA1436">
        <w:t xml:space="preserve">M-denní průtoky </w:t>
      </w:r>
      <w:proofErr w:type="spellStart"/>
      <w:r w:rsidRPr="00AA1436">
        <w:t>Q</w:t>
      </w:r>
      <w:r w:rsidRPr="006907AD">
        <w:rPr>
          <w:vertAlign w:val="subscript"/>
        </w:rPr>
        <w:t>Md</w:t>
      </w:r>
      <w:proofErr w:type="spellEnd"/>
      <w:r w:rsidRPr="00B85BCE">
        <w:t>:</w:t>
      </w: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98"/>
        <w:gridCol w:w="598"/>
        <w:gridCol w:w="598"/>
        <w:gridCol w:w="599"/>
        <w:gridCol w:w="598"/>
        <w:gridCol w:w="598"/>
        <w:gridCol w:w="599"/>
        <w:gridCol w:w="598"/>
        <w:gridCol w:w="598"/>
        <w:gridCol w:w="599"/>
        <w:gridCol w:w="598"/>
        <w:gridCol w:w="598"/>
        <w:gridCol w:w="599"/>
        <w:gridCol w:w="708"/>
      </w:tblGrid>
      <w:tr w:rsidR="00DD0C33" w:rsidTr="00D06A08">
        <w:tc>
          <w:tcPr>
            <w:tcW w:w="1063" w:type="dxa"/>
          </w:tcPr>
          <w:p w:rsidR="00DD0C33" w:rsidRDefault="00DD0C33" w:rsidP="00D06A08">
            <w:pPr>
              <w:rPr>
                <w:lang w:val="en-US"/>
              </w:rPr>
            </w:pPr>
            <w:r>
              <w:t xml:space="preserve">M </w:t>
            </w: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dny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598" w:type="dxa"/>
          </w:tcPr>
          <w:p w:rsidR="00DD0C33" w:rsidRDefault="00DD0C33" w:rsidP="00D06A08">
            <w:r>
              <w:t>30</w:t>
            </w:r>
          </w:p>
        </w:tc>
        <w:tc>
          <w:tcPr>
            <w:tcW w:w="598" w:type="dxa"/>
          </w:tcPr>
          <w:p w:rsidR="00DD0C33" w:rsidRDefault="00DD0C33" w:rsidP="00D06A08">
            <w:r>
              <w:t>60</w:t>
            </w:r>
          </w:p>
        </w:tc>
        <w:tc>
          <w:tcPr>
            <w:tcW w:w="598" w:type="dxa"/>
          </w:tcPr>
          <w:p w:rsidR="00DD0C33" w:rsidRDefault="00DD0C33" w:rsidP="00D06A08">
            <w:r>
              <w:t>90</w:t>
            </w:r>
          </w:p>
        </w:tc>
        <w:tc>
          <w:tcPr>
            <w:tcW w:w="599" w:type="dxa"/>
          </w:tcPr>
          <w:p w:rsidR="00DD0C33" w:rsidRDefault="00DD0C33" w:rsidP="00D06A08">
            <w:r>
              <w:t>120</w:t>
            </w:r>
          </w:p>
        </w:tc>
        <w:tc>
          <w:tcPr>
            <w:tcW w:w="598" w:type="dxa"/>
          </w:tcPr>
          <w:p w:rsidR="00DD0C33" w:rsidRDefault="00DD0C33" w:rsidP="00D06A08">
            <w:r>
              <w:t>150</w:t>
            </w:r>
          </w:p>
        </w:tc>
        <w:tc>
          <w:tcPr>
            <w:tcW w:w="598" w:type="dxa"/>
          </w:tcPr>
          <w:p w:rsidR="00DD0C33" w:rsidRDefault="00DD0C33" w:rsidP="00D06A08">
            <w:r>
              <w:t>180</w:t>
            </w:r>
          </w:p>
        </w:tc>
        <w:tc>
          <w:tcPr>
            <w:tcW w:w="599" w:type="dxa"/>
          </w:tcPr>
          <w:p w:rsidR="00DD0C33" w:rsidRDefault="00DD0C33" w:rsidP="00D06A08">
            <w:r>
              <w:t>210</w:t>
            </w:r>
          </w:p>
        </w:tc>
        <w:tc>
          <w:tcPr>
            <w:tcW w:w="598" w:type="dxa"/>
          </w:tcPr>
          <w:p w:rsidR="00DD0C33" w:rsidRDefault="00DD0C33" w:rsidP="00D06A08">
            <w:r>
              <w:t>240</w:t>
            </w:r>
          </w:p>
        </w:tc>
        <w:tc>
          <w:tcPr>
            <w:tcW w:w="598" w:type="dxa"/>
          </w:tcPr>
          <w:p w:rsidR="00DD0C33" w:rsidRDefault="00DD0C33" w:rsidP="00D06A08">
            <w:r>
              <w:t>270</w:t>
            </w:r>
          </w:p>
        </w:tc>
        <w:tc>
          <w:tcPr>
            <w:tcW w:w="599" w:type="dxa"/>
          </w:tcPr>
          <w:p w:rsidR="00DD0C33" w:rsidRDefault="00DD0C33" w:rsidP="00D06A08">
            <w:r>
              <w:t>300</w:t>
            </w:r>
          </w:p>
        </w:tc>
        <w:tc>
          <w:tcPr>
            <w:tcW w:w="598" w:type="dxa"/>
          </w:tcPr>
          <w:p w:rsidR="00DD0C33" w:rsidRDefault="00DD0C33" w:rsidP="00D06A08">
            <w:r>
              <w:t>330</w:t>
            </w:r>
          </w:p>
        </w:tc>
        <w:tc>
          <w:tcPr>
            <w:tcW w:w="598" w:type="dxa"/>
          </w:tcPr>
          <w:p w:rsidR="00DD0C33" w:rsidRDefault="00DD0C33" w:rsidP="00D06A08">
            <w:r>
              <w:t>355</w:t>
            </w:r>
          </w:p>
        </w:tc>
        <w:tc>
          <w:tcPr>
            <w:tcW w:w="599" w:type="dxa"/>
          </w:tcPr>
          <w:p w:rsidR="00DD0C33" w:rsidRDefault="00DD0C33" w:rsidP="00D06A08">
            <w:r>
              <w:t>364</w:t>
            </w:r>
          </w:p>
        </w:tc>
        <w:tc>
          <w:tcPr>
            <w:tcW w:w="708" w:type="dxa"/>
          </w:tcPr>
          <w:p w:rsidR="00DD0C33" w:rsidRDefault="00DD0C33" w:rsidP="00D06A08">
            <w:r>
              <w:t>Třída</w:t>
            </w:r>
          </w:p>
        </w:tc>
      </w:tr>
      <w:tr w:rsidR="00DD0C33" w:rsidTr="00D06A08">
        <w:tc>
          <w:tcPr>
            <w:tcW w:w="1063" w:type="dxa"/>
          </w:tcPr>
          <w:p w:rsidR="00DD0C33" w:rsidRDefault="00DD0C33" w:rsidP="00D06A08">
            <w:proofErr w:type="spellStart"/>
            <w:r>
              <w:t>Q</w:t>
            </w:r>
            <w:r>
              <w:rPr>
                <w:vertAlign w:val="subscript"/>
              </w:rPr>
              <w:t>Md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[l/s]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2240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1460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1090</w:t>
            </w:r>
          </w:p>
        </w:tc>
        <w:tc>
          <w:tcPr>
            <w:tcW w:w="599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853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701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586</w:t>
            </w:r>
          </w:p>
        </w:tc>
        <w:tc>
          <w:tcPr>
            <w:tcW w:w="599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506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394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321</w:t>
            </w:r>
          </w:p>
        </w:tc>
        <w:tc>
          <w:tcPr>
            <w:tcW w:w="599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260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223</w:t>
            </w:r>
          </w:p>
        </w:tc>
        <w:tc>
          <w:tcPr>
            <w:tcW w:w="598" w:type="dxa"/>
          </w:tcPr>
          <w:p w:rsidR="00DD0C33" w:rsidRDefault="00DD0C33" w:rsidP="00D06A08">
            <w:pPr>
              <w:rPr>
                <w:sz w:val="22"/>
              </w:rPr>
            </w:pPr>
            <w:r>
              <w:rPr>
                <w:sz w:val="22"/>
              </w:rPr>
              <w:t>203</w:t>
            </w:r>
          </w:p>
        </w:tc>
        <w:tc>
          <w:tcPr>
            <w:tcW w:w="599" w:type="dxa"/>
          </w:tcPr>
          <w:p w:rsidR="00DD0C33" w:rsidRDefault="00DD0C33" w:rsidP="00D06A08">
            <w:r>
              <w:t>135</w:t>
            </w:r>
          </w:p>
        </w:tc>
        <w:tc>
          <w:tcPr>
            <w:tcW w:w="708" w:type="dxa"/>
          </w:tcPr>
          <w:p w:rsidR="00DD0C33" w:rsidRDefault="00DD0C33" w:rsidP="00D06A08">
            <w:r>
              <w:t>III.</w:t>
            </w:r>
          </w:p>
        </w:tc>
      </w:tr>
    </w:tbl>
    <w:p w:rsidR="00DD0C33" w:rsidRDefault="00DD0C33" w:rsidP="003C4F98"/>
    <w:p w:rsidR="00247789" w:rsidRPr="00247789" w:rsidRDefault="00247789" w:rsidP="00247789">
      <w:pPr>
        <w:pStyle w:val="Nadpis3"/>
      </w:pPr>
      <w:bookmarkStart w:id="27" w:name="_Toc7162266"/>
      <w:bookmarkStart w:id="28" w:name="_Toc10210060"/>
      <w:r>
        <w:t>Č</w:t>
      </w:r>
      <w:r w:rsidRPr="00247789">
        <w:t xml:space="preserve">asové vazby stavby, </w:t>
      </w:r>
      <w:bookmarkEnd w:id="27"/>
      <w:r>
        <w:t>mimořádná manipulace</w:t>
      </w:r>
      <w:bookmarkEnd w:id="28"/>
    </w:p>
    <w:p w:rsidR="00247789" w:rsidRPr="00247789" w:rsidRDefault="00247789" w:rsidP="00247789">
      <w:pPr>
        <w:spacing w:before="120" w:after="0" w:line="276" w:lineRule="auto"/>
        <w:rPr>
          <w:rFonts w:eastAsia="Calibri"/>
          <w:szCs w:val="22"/>
          <w:lang w:eastAsia="x-none"/>
        </w:rPr>
      </w:pPr>
      <w:r w:rsidRPr="00247789">
        <w:rPr>
          <w:rFonts w:eastAsia="Calibri"/>
          <w:szCs w:val="22"/>
          <w:lang w:eastAsia="x-none"/>
        </w:rPr>
        <w:t xml:space="preserve">Provedení stavebních prací se předpokládá v roce 2020 a to v letních a podzimních měsících (červen - září). </w:t>
      </w:r>
    </w:p>
    <w:p w:rsidR="00247789" w:rsidRPr="00247789" w:rsidRDefault="00247789" w:rsidP="00247789">
      <w:pPr>
        <w:spacing w:before="120" w:after="0" w:line="276" w:lineRule="auto"/>
        <w:rPr>
          <w:rFonts w:eastAsia="Calibri"/>
          <w:szCs w:val="22"/>
          <w:lang w:eastAsia="x-none"/>
        </w:rPr>
      </w:pPr>
      <w:r w:rsidRPr="00247789">
        <w:rPr>
          <w:rFonts w:eastAsia="Calibri"/>
          <w:szCs w:val="22"/>
          <w:lang w:eastAsia="x-none"/>
        </w:rPr>
        <w:t>Pro provedení stavby je navrženo vypuštění jezové zd</w:t>
      </w:r>
      <w:r w:rsidR="001A2CC9">
        <w:rPr>
          <w:rFonts w:eastAsia="Calibri"/>
          <w:szCs w:val="22"/>
          <w:lang w:eastAsia="x-none"/>
        </w:rPr>
        <w:t>rže a to na dobu min. cca 50 dní</w:t>
      </w:r>
      <w:r w:rsidRPr="00247789">
        <w:rPr>
          <w:rFonts w:eastAsia="Calibri"/>
          <w:szCs w:val="22"/>
          <w:lang w:eastAsia="x-none"/>
        </w:rPr>
        <w:t xml:space="preserve">. Z tohoto důvodu bude vypracována investorem </w:t>
      </w:r>
      <w:r w:rsidRPr="00247789">
        <w:rPr>
          <w:rFonts w:eastAsia="Calibri"/>
          <w:b/>
          <w:szCs w:val="22"/>
          <w:lang w:eastAsia="x-none"/>
        </w:rPr>
        <w:t>Mimořádná manipulace</w:t>
      </w:r>
      <w:r w:rsidRPr="00247789">
        <w:rPr>
          <w:rFonts w:eastAsia="Calibri"/>
          <w:szCs w:val="22"/>
          <w:lang w:eastAsia="x-none"/>
        </w:rPr>
        <w:t>.</w:t>
      </w:r>
    </w:p>
    <w:p w:rsidR="00247789" w:rsidRPr="00247789" w:rsidRDefault="00247789" w:rsidP="00247789">
      <w:pPr>
        <w:spacing w:before="120" w:after="0" w:line="276" w:lineRule="auto"/>
        <w:rPr>
          <w:rFonts w:eastAsia="Calibri"/>
          <w:szCs w:val="22"/>
          <w:lang w:eastAsia="x-none"/>
        </w:rPr>
      </w:pPr>
      <w:r w:rsidRPr="00247789">
        <w:rPr>
          <w:rFonts w:eastAsia="Calibri"/>
          <w:szCs w:val="22"/>
          <w:lang w:eastAsia="x-none"/>
        </w:rPr>
        <w:t>Případné zajištění vody do náhonu bude řešeno čerpáním.</w:t>
      </w:r>
    </w:p>
    <w:p w:rsidR="00247789" w:rsidRPr="00247789" w:rsidRDefault="00247789" w:rsidP="00247789">
      <w:pPr>
        <w:spacing w:before="120" w:after="0" w:line="276" w:lineRule="auto"/>
        <w:rPr>
          <w:rFonts w:eastAsia="Calibri"/>
          <w:szCs w:val="22"/>
          <w:lang w:eastAsia="x-none"/>
        </w:rPr>
      </w:pPr>
      <w:r w:rsidRPr="00247789">
        <w:rPr>
          <w:rFonts w:eastAsia="Calibri"/>
          <w:szCs w:val="22"/>
          <w:lang w:eastAsia="x-none"/>
        </w:rPr>
        <w:t>Po dobu vypuštěné zdrže bude rybí přechod bez vody.</w:t>
      </w:r>
    </w:p>
    <w:p w:rsidR="00247789" w:rsidRPr="00247789" w:rsidRDefault="00247789" w:rsidP="00247789">
      <w:pPr>
        <w:tabs>
          <w:tab w:val="left" w:pos="2835"/>
        </w:tabs>
        <w:spacing w:before="120" w:after="0" w:line="276" w:lineRule="auto"/>
        <w:rPr>
          <w:rFonts w:eastAsia="Calibri"/>
          <w:color w:val="FF0000"/>
          <w:szCs w:val="22"/>
          <w:lang w:eastAsia="en-US"/>
        </w:rPr>
      </w:pPr>
    </w:p>
    <w:p w:rsidR="003C4F98" w:rsidRPr="00031A51" w:rsidRDefault="003C4F98" w:rsidP="003C4F98">
      <w:pPr>
        <w:pStyle w:val="Nadpis3"/>
      </w:pPr>
      <w:bookmarkStart w:id="29" w:name="_Toc10210061"/>
      <w:r w:rsidRPr="00031A51">
        <w:t>Sledování průtočného množství</w:t>
      </w:r>
      <w:bookmarkEnd w:id="29"/>
    </w:p>
    <w:p w:rsidR="008F37F7" w:rsidRDefault="008F37F7" w:rsidP="003C29AE">
      <w:pPr>
        <w:pStyle w:val="Nadpis4"/>
        <w:rPr>
          <w:rFonts w:eastAsia="Calibri"/>
          <w:lang w:eastAsia="en-US"/>
        </w:rPr>
      </w:pPr>
      <w:bookmarkStart w:id="30" w:name="_Toc10210062"/>
      <w:r>
        <w:rPr>
          <w:rFonts w:eastAsia="Calibri"/>
          <w:lang w:eastAsia="en-US"/>
        </w:rPr>
        <w:t>Při snížené hladině ve zdrži</w:t>
      </w:r>
      <w:bookmarkEnd w:id="30"/>
    </w:p>
    <w:p w:rsidR="003C29AE" w:rsidRPr="008F37F7" w:rsidRDefault="003C29AE" w:rsidP="008F37F7">
      <w:pPr>
        <w:rPr>
          <w:b/>
        </w:rPr>
      </w:pPr>
      <w:r w:rsidRPr="008F37F7">
        <w:rPr>
          <w:b/>
        </w:rPr>
        <w:t xml:space="preserve"> - voda se převádí rybím přechodem, při zvýšených průtocích přes původní pevný jez</w:t>
      </w:r>
    </w:p>
    <w:p w:rsidR="008F37F7" w:rsidRDefault="008F37F7" w:rsidP="00031A51"/>
    <w:p w:rsidR="00DE36DA" w:rsidRDefault="00DE36DA" w:rsidP="00031A51">
      <w:r>
        <w:t>Měření vodního stavu v jezové zdrži:</w:t>
      </w:r>
    </w:p>
    <w:p w:rsidR="00DE36DA" w:rsidRDefault="003C29AE" w:rsidP="00DE36DA">
      <w:pPr>
        <w:pStyle w:val="Odstavecseseznamem"/>
        <w:numPr>
          <w:ilvl w:val="0"/>
          <w:numId w:val="12"/>
        </w:numPr>
      </w:pPr>
      <w:r>
        <w:t xml:space="preserve">vodočetná lať umístěná </w:t>
      </w:r>
      <w:r w:rsidR="00DE36DA">
        <w:t>na levobřežní návodní zdi</w:t>
      </w:r>
      <w:r w:rsidR="00CA2A7B">
        <w:t xml:space="preserve"> (stávající lať není dotažena ke dnu zdrže</w:t>
      </w:r>
      <w:r w:rsidR="008F37F7">
        <w:t>, není potřeba úpravy</w:t>
      </w:r>
      <w:r w:rsidR="00CA2A7B">
        <w:t>)</w:t>
      </w:r>
    </w:p>
    <w:p w:rsidR="003C29AE" w:rsidRDefault="003C29AE" w:rsidP="003C29AE">
      <w:pPr>
        <w:rPr>
          <w:b/>
          <w:bCs/>
          <w:i/>
          <w:iCs/>
        </w:rPr>
      </w:pPr>
    </w:p>
    <w:p w:rsidR="003C29AE" w:rsidRPr="00031A51" w:rsidRDefault="003C29AE" w:rsidP="003C29AE">
      <w:pPr>
        <w:rPr>
          <w:b/>
          <w:bCs/>
          <w:i/>
          <w:iCs/>
        </w:rPr>
      </w:pPr>
      <w:proofErr w:type="gramStart"/>
      <w:r w:rsidRPr="00031A51">
        <w:rPr>
          <w:b/>
          <w:bCs/>
          <w:i/>
          <w:iCs/>
        </w:rPr>
        <w:t>Popis  jednotlivých</w:t>
      </w:r>
      <w:proofErr w:type="gramEnd"/>
      <w:r w:rsidRPr="00031A51">
        <w:rPr>
          <w:b/>
          <w:bCs/>
          <w:i/>
          <w:iCs/>
        </w:rPr>
        <w:t xml:space="preserve">  stupňů povodňové aktivity (SPA) </w:t>
      </w:r>
    </w:p>
    <w:tbl>
      <w:tblPr>
        <w:tblW w:w="935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81"/>
        <w:gridCol w:w="6075"/>
      </w:tblGrid>
      <w:tr w:rsidR="003C29AE" w:rsidRPr="00031A51" w:rsidTr="00D06A08">
        <w:trPr>
          <w:trHeight w:hRule="exact" w:val="827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proofErr w:type="gramStart"/>
            <w:r w:rsidRPr="00031A51">
              <w:rPr>
                <w:b/>
                <w:bCs/>
                <w:i/>
                <w:iCs/>
              </w:rPr>
              <w:t>I.   stupeň</w:t>
            </w:r>
            <w:proofErr w:type="gramEnd"/>
            <w:r w:rsidRPr="00031A51">
              <w:rPr>
                <w:b/>
                <w:bCs/>
                <w:i/>
                <w:iCs/>
              </w:rPr>
              <w:t xml:space="preserve">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Default="003C29AE" w:rsidP="003C29AE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bdělosti (zelená ryska):     </w:t>
            </w:r>
            <w:r>
              <w:rPr>
                <w:bCs/>
                <w:i/>
                <w:iCs/>
              </w:rPr>
              <w:t>332,10 m n. m.</w:t>
            </w:r>
          </w:p>
          <w:p w:rsidR="001D2C43" w:rsidRDefault="00D06A08" w:rsidP="003C29AE">
            <w:pPr>
              <w:snapToGrid w:val="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(odpovídá průtoku cca 0,42+0,15=0,57 m</w:t>
            </w:r>
            <w:r w:rsidRPr="00D06A08">
              <w:rPr>
                <w:bCs/>
                <w:i/>
                <w:iCs/>
                <w:vertAlign w:val="superscript"/>
              </w:rPr>
              <w:t>3</w:t>
            </w:r>
            <w:r>
              <w:rPr>
                <w:bCs/>
                <w:i/>
                <w:iCs/>
              </w:rPr>
              <w:t>/s)</w:t>
            </w:r>
          </w:p>
          <w:p w:rsidR="001D2C43" w:rsidRDefault="001D2C43" w:rsidP="003C29AE">
            <w:pPr>
              <w:snapToGrid w:val="0"/>
              <w:rPr>
                <w:bCs/>
                <w:i/>
                <w:iCs/>
              </w:rPr>
            </w:pPr>
          </w:p>
          <w:p w:rsidR="001D2C43" w:rsidRDefault="001D2C43" w:rsidP="003C29AE">
            <w:pPr>
              <w:snapToGrid w:val="0"/>
              <w:rPr>
                <w:bCs/>
                <w:i/>
                <w:iCs/>
              </w:rPr>
            </w:pPr>
          </w:p>
          <w:p w:rsidR="003C07AF" w:rsidRDefault="003C07AF" w:rsidP="003C29AE">
            <w:pPr>
              <w:snapToGrid w:val="0"/>
              <w:rPr>
                <w:bCs/>
                <w:i/>
                <w:iCs/>
              </w:rPr>
            </w:pPr>
          </w:p>
          <w:p w:rsidR="003C07AF" w:rsidRPr="00031A51" w:rsidRDefault="003C07AF" w:rsidP="003C29AE">
            <w:pPr>
              <w:snapToGrid w:val="0"/>
              <w:rPr>
                <w:bCs/>
                <w:i/>
                <w:iCs/>
              </w:rPr>
            </w:pPr>
          </w:p>
        </w:tc>
      </w:tr>
      <w:tr w:rsidR="003C29AE" w:rsidRPr="00031A51" w:rsidTr="001D2C43">
        <w:trPr>
          <w:trHeight w:hRule="exact" w:val="397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proofErr w:type="gramStart"/>
            <w:r w:rsidRPr="00031A51">
              <w:rPr>
                <w:b/>
                <w:bCs/>
                <w:i/>
                <w:iCs/>
              </w:rPr>
              <w:t>II . stupeň</w:t>
            </w:r>
            <w:proofErr w:type="gramEnd"/>
            <w:r w:rsidRPr="00031A51">
              <w:rPr>
                <w:b/>
                <w:bCs/>
                <w:i/>
                <w:iCs/>
              </w:rPr>
              <w:t xml:space="preserve">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Pr="00031A51" w:rsidRDefault="003C29AE" w:rsidP="003C29AE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pohotovosti (žlutá ryska):  </w:t>
            </w:r>
            <w:r>
              <w:rPr>
                <w:bCs/>
                <w:i/>
                <w:iCs/>
              </w:rPr>
              <w:t>332,15 m n. m.</w:t>
            </w:r>
          </w:p>
        </w:tc>
      </w:tr>
      <w:tr w:rsidR="003C29AE" w:rsidRPr="00031A51" w:rsidTr="001D2C43">
        <w:trPr>
          <w:trHeight w:hRule="exact" w:val="397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r w:rsidRPr="00031A51">
              <w:rPr>
                <w:b/>
                <w:bCs/>
                <w:i/>
                <w:iCs/>
              </w:rPr>
              <w:t>III. stupeň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ohrožení (červená ryska): </w:t>
            </w:r>
            <w:r>
              <w:rPr>
                <w:bCs/>
                <w:i/>
                <w:iCs/>
              </w:rPr>
              <w:t>332,20</w:t>
            </w:r>
            <w:r w:rsidRPr="00031A51">
              <w:rPr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m n. m.</w:t>
            </w:r>
          </w:p>
          <w:p w:rsidR="003C29AE" w:rsidRPr="00031A51" w:rsidRDefault="003C29AE" w:rsidP="00D06A08">
            <w:pPr>
              <w:snapToGrid w:val="0"/>
              <w:rPr>
                <w:bCs/>
                <w:i/>
                <w:iCs/>
              </w:rPr>
            </w:pPr>
          </w:p>
        </w:tc>
      </w:tr>
    </w:tbl>
    <w:p w:rsidR="00D06A08" w:rsidRDefault="00D06A08" w:rsidP="00D06A08"/>
    <w:p w:rsidR="00375380" w:rsidRPr="00D06A08" w:rsidRDefault="00375380" w:rsidP="00D06A08">
      <w:r>
        <w:t>Pozn.: pro zvýšení stupňů bezpečnosti by dodavatel musel provést doplňující opatření (</w:t>
      </w:r>
      <w:r w:rsidR="008348FE">
        <w:t xml:space="preserve">osazení </w:t>
      </w:r>
      <w:r>
        <w:t>provizorní</w:t>
      </w:r>
      <w:r w:rsidR="008348FE">
        <w:t>ho</w:t>
      </w:r>
      <w:r>
        <w:t xml:space="preserve"> hrazení v pravém poli pohyblivého jezu, </w:t>
      </w:r>
      <w:proofErr w:type="spellStart"/>
      <w:r>
        <w:t>náplatek</w:t>
      </w:r>
      <w:proofErr w:type="spellEnd"/>
      <w:r>
        <w:t xml:space="preserve"> na koruně jezu v levém poli</w:t>
      </w:r>
      <w:r w:rsidR="008348FE">
        <w:t>).</w:t>
      </w:r>
    </w:p>
    <w:p w:rsidR="008F37F7" w:rsidRDefault="003C29AE" w:rsidP="003C29AE">
      <w:pPr>
        <w:pStyle w:val="Nadpis4"/>
        <w:rPr>
          <w:rFonts w:eastAsia="Calibri"/>
          <w:lang w:eastAsia="en-US"/>
        </w:rPr>
      </w:pPr>
      <w:bookmarkStart w:id="31" w:name="_Toc10210063"/>
      <w:r w:rsidRPr="003C29AE">
        <w:rPr>
          <w:rFonts w:eastAsia="Calibri"/>
          <w:lang w:eastAsia="en-US"/>
        </w:rPr>
        <w:t xml:space="preserve">Při </w:t>
      </w:r>
      <w:r w:rsidR="008F37F7">
        <w:rPr>
          <w:rFonts w:eastAsia="Calibri"/>
          <w:lang w:eastAsia="en-US"/>
        </w:rPr>
        <w:t>vypuštěné zdrži</w:t>
      </w:r>
      <w:bookmarkEnd w:id="31"/>
    </w:p>
    <w:p w:rsidR="003C29AE" w:rsidRPr="008F37F7" w:rsidRDefault="003C29AE" w:rsidP="008F37F7">
      <w:pPr>
        <w:rPr>
          <w:b/>
        </w:rPr>
      </w:pPr>
      <w:r w:rsidRPr="008F37F7">
        <w:rPr>
          <w:b/>
        </w:rPr>
        <w:t>- voda se převádí pravým jezovým polem pohyblivého jezu</w:t>
      </w:r>
    </w:p>
    <w:p w:rsidR="008F37F7" w:rsidRDefault="008F37F7" w:rsidP="003C29AE"/>
    <w:p w:rsidR="003C29AE" w:rsidRDefault="003C29AE" w:rsidP="003C29AE">
      <w:r>
        <w:t>Měření vodního stavu v jezové zdrži:</w:t>
      </w:r>
      <w:r w:rsidR="008F37F7">
        <w:t xml:space="preserve"> pomocný hlásný profil</w:t>
      </w:r>
    </w:p>
    <w:p w:rsidR="003C29AE" w:rsidRDefault="003C29AE" w:rsidP="003C29AE">
      <w:pPr>
        <w:pStyle w:val="Odstavecseseznamem"/>
        <w:numPr>
          <w:ilvl w:val="0"/>
          <w:numId w:val="12"/>
        </w:numPr>
      </w:pPr>
      <w:r>
        <w:t>vodočetná lať umístěná na středovém pilíři</w:t>
      </w:r>
      <w:r w:rsidR="008F37F7">
        <w:t xml:space="preserve"> od dna prahu v nadjezí</w:t>
      </w:r>
      <w:r>
        <w:t xml:space="preserve"> (nově)</w:t>
      </w:r>
      <w:r w:rsidR="00D06A08">
        <w:t xml:space="preserve"> nebo barvou vyznačené rysky</w:t>
      </w:r>
      <w:r w:rsidR="00C610DB">
        <w:t xml:space="preserve"> (dle požadavků </w:t>
      </w:r>
      <w:proofErr w:type="spellStart"/>
      <w:r w:rsidR="00C610DB">
        <w:t>investrora</w:t>
      </w:r>
      <w:proofErr w:type="spellEnd"/>
      <w:r w:rsidR="00C610DB">
        <w:t>)</w:t>
      </w:r>
    </w:p>
    <w:p w:rsidR="003C29AE" w:rsidRDefault="003C29AE" w:rsidP="003C29AE">
      <w:pPr>
        <w:rPr>
          <w:b/>
          <w:bCs/>
          <w:i/>
          <w:iCs/>
        </w:rPr>
      </w:pPr>
    </w:p>
    <w:p w:rsidR="003C29AE" w:rsidRPr="00031A51" w:rsidRDefault="003C29AE" w:rsidP="003C29AE">
      <w:pPr>
        <w:rPr>
          <w:b/>
          <w:bCs/>
          <w:i/>
          <w:iCs/>
        </w:rPr>
      </w:pPr>
      <w:proofErr w:type="gramStart"/>
      <w:r w:rsidRPr="00031A51">
        <w:rPr>
          <w:b/>
          <w:bCs/>
          <w:i/>
          <w:iCs/>
        </w:rPr>
        <w:t>Popis  jednotlivých</w:t>
      </w:r>
      <w:proofErr w:type="gramEnd"/>
      <w:r w:rsidRPr="00031A51">
        <w:rPr>
          <w:b/>
          <w:bCs/>
          <w:i/>
          <w:iCs/>
        </w:rPr>
        <w:t xml:space="preserve">  stupňů povodňové aktivity (SPA) </w:t>
      </w:r>
    </w:p>
    <w:tbl>
      <w:tblPr>
        <w:tblW w:w="935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281"/>
        <w:gridCol w:w="6075"/>
      </w:tblGrid>
      <w:tr w:rsidR="003C29AE" w:rsidRPr="00031A51" w:rsidTr="00D06A08">
        <w:trPr>
          <w:trHeight w:hRule="exact" w:val="872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proofErr w:type="gramStart"/>
            <w:r w:rsidRPr="00031A51">
              <w:rPr>
                <w:b/>
                <w:bCs/>
                <w:i/>
                <w:iCs/>
              </w:rPr>
              <w:t>I.   stupeň</w:t>
            </w:r>
            <w:proofErr w:type="gramEnd"/>
            <w:r w:rsidRPr="00031A51">
              <w:rPr>
                <w:b/>
                <w:bCs/>
                <w:i/>
                <w:iCs/>
              </w:rPr>
              <w:t xml:space="preserve">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Default="003C29AE" w:rsidP="001D2C43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bdělosti (zelená ryska):     </w:t>
            </w:r>
            <w:r w:rsidR="00CA2A7B">
              <w:rPr>
                <w:bCs/>
                <w:i/>
                <w:iCs/>
              </w:rPr>
              <w:t>1</w:t>
            </w:r>
            <w:r w:rsidR="001D2C43">
              <w:rPr>
                <w:bCs/>
                <w:i/>
                <w:iCs/>
              </w:rPr>
              <w:t>0</w:t>
            </w:r>
            <w:r w:rsidRPr="00031A51">
              <w:rPr>
                <w:bCs/>
                <w:i/>
                <w:iCs/>
              </w:rPr>
              <w:t xml:space="preserve"> cm nad </w:t>
            </w:r>
            <w:r w:rsidR="00CA2A7B">
              <w:rPr>
                <w:bCs/>
                <w:i/>
                <w:iCs/>
              </w:rPr>
              <w:t>prahem</w:t>
            </w:r>
          </w:p>
          <w:p w:rsidR="00D06A08" w:rsidRPr="00031A51" w:rsidRDefault="00D06A08" w:rsidP="00D06A08">
            <w:pPr>
              <w:snapToGrid w:val="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(odpovídá průtoku cca 0,4 m</w:t>
            </w:r>
            <w:r w:rsidRPr="00D06A08">
              <w:rPr>
                <w:bCs/>
                <w:i/>
                <w:iCs/>
                <w:vertAlign w:val="superscript"/>
              </w:rPr>
              <w:t>3</w:t>
            </w:r>
            <w:r>
              <w:rPr>
                <w:bCs/>
                <w:i/>
                <w:iCs/>
              </w:rPr>
              <w:t>/s)</w:t>
            </w:r>
          </w:p>
        </w:tc>
      </w:tr>
      <w:tr w:rsidR="003C29AE" w:rsidRPr="00031A51" w:rsidTr="00D06A08">
        <w:trPr>
          <w:trHeight w:hRule="exact" w:val="843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proofErr w:type="gramStart"/>
            <w:r w:rsidRPr="00031A51">
              <w:rPr>
                <w:b/>
                <w:bCs/>
                <w:i/>
                <w:iCs/>
              </w:rPr>
              <w:t>II . stupeň</w:t>
            </w:r>
            <w:proofErr w:type="gramEnd"/>
            <w:r w:rsidRPr="00031A51">
              <w:rPr>
                <w:b/>
                <w:bCs/>
                <w:i/>
                <w:iCs/>
              </w:rPr>
              <w:t xml:space="preserve">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Default="003C29AE" w:rsidP="001D2C43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pohotovosti (žlutá ryska):  </w:t>
            </w:r>
            <w:r w:rsidR="001D2C43">
              <w:rPr>
                <w:bCs/>
                <w:i/>
                <w:iCs/>
              </w:rPr>
              <w:t>20</w:t>
            </w:r>
            <w:r w:rsidRPr="00031A51">
              <w:rPr>
                <w:bCs/>
                <w:i/>
                <w:iCs/>
              </w:rPr>
              <w:t xml:space="preserve"> cm </w:t>
            </w:r>
            <w:r w:rsidR="00CA2A7B">
              <w:rPr>
                <w:bCs/>
                <w:i/>
                <w:iCs/>
              </w:rPr>
              <w:t>nad prahem</w:t>
            </w:r>
          </w:p>
          <w:p w:rsidR="00D06A08" w:rsidRPr="00031A51" w:rsidRDefault="00D06A08" w:rsidP="00D06A08">
            <w:pPr>
              <w:snapToGrid w:val="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(odpovídá průtoku cca 1,10 m</w:t>
            </w:r>
            <w:r w:rsidRPr="00D06A08">
              <w:rPr>
                <w:bCs/>
                <w:i/>
                <w:iCs/>
                <w:vertAlign w:val="superscript"/>
              </w:rPr>
              <w:t>3</w:t>
            </w:r>
            <w:r>
              <w:rPr>
                <w:bCs/>
                <w:i/>
                <w:iCs/>
              </w:rPr>
              <w:t>/s)</w:t>
            </w:r>
          </w:p>
        </w:tc>
      </w:tr>
      <w:tr w:rsidR="003C29AE" w:rsidRPr="00031A51" w:rsidTr="00D06A08">
        <w:trPr>
          <w:trHeight w:hRule="exact" w:val="853"/>
        </w:trPr>
        <w:tc>
          <w:tcPr>
            <w:tcW w:w="3281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/>
                <w:bCs/>
                <w:i/>
                <w:iCs/>
              </w:rPr>
            </w:pPr>
            <w:r w:rsidRPr="00031A51">
              <w:rPr>
                <w:b/>
                <w:bCs/>
                <w:i/>
                <w:iCs/>
              </w:rPr>
              <w:t>III. stupeň povodňové aktivity</w:t>
            </w:r>
          </w:p>
        </w:tc>
        <w:tc>
          <w:tcPr>
            <w:tcW w:w="6075" w:type="dxa"/>
            <w:shd w:val="clear" w:color="auto" w:fill="auto"/>
            <w:vAlign w:val="center"/>
          </w:tcPr>
          <w:p w:rsidR="003C29AE" w:rsidRPr="00031A51" w:rsidRDefault="003C29AE" w:rsidP="00D06A08">
            <w:pPr>
              <w:snapToGrid w:val="0"/>
              <w:rPr>
                <w:bCs/>
                <w:i/>
                <w:iCs/>
              </w:rPr>
            </w:pPr>
            <w:r w:rsidRPr="00031A51">
              <w:rPr>
                <w:bCs/>
                <w:i/>
                <w:iCs/>
              </w:rPr>
              <w:t xml:space="preserve">- stav ohrožení (červená ryska): </w:t>
            </w:r>
            <w:r w:rsidR="00D06A08">
              <w:rPr>
                <w:bCs/>
                <w:i/>
                <w:iCs/>
              </w:rPr>
              <w:t>30</w:t>
            </w:r>
            <w:r w:rsidR="00CA2A7B">
              <w:rPr>
                <w:bCs/>
                <w:i/>
                <w:iCs/>
              </w:rPr>
              <w:t xml:space="preserve"> cm nad</w:t>
            </w:r>
            <w:r w:rsidRPr="00031A51">
              <w:rPr>
                <w:bCs/>
                <w:i/>
                <w:iCs/>
              </w:rPr>
              <w:t xml:space="preserve"> </w:t>
            </w:r>
            <w:r w:rsidR="00CA2A7B">
              <w:rPr>
                <w:bCs/>
                <w:i/>
                <w:iCs/>
              </w:rPr>
              <w:t>prahem</w:t>
            </w:r>
          </w:p>
          <w:p w:rsidR="003C29AE" w:rsidRPr="00031A51" w:rsidRDefault="00D06A08" w:rsidP="00D06A08">
            <w:pPr>
              <w:snapToGrid w:val="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(odpovídá průtoku cca 2,0 m</w:t>
            </w:r>
            <w:r w:rsidRPr="00D06A08">
              <w:rPr>
                <w:bCs/>
                <w:i/>
                <w:iCs/>
                <w:vertAlign w:val="superscript"/>
              </w:rPr>
              <w:t>3</w:t>
            </w:r>
            <w:r>
              <w:rPr>
                <w:bCs/>
                <w:i/>
                <w:iCs/>
              </w:rPr>
              <w:t>/s)</w:t>
            </w:r>
          </w:p>
        </w:tc>
      </w:tr>
    </w:tbl>
    <w:p w:rsidR="003C07AF" w:rsidRDefault="00CA2A7B" w:rsidP="003C29AE">
      <w:r>
        <w:t xml:space="preserve">Pozn. </w:t>
      </w:r>
      <w:r w:rsidR="003C07AF">
        <w:t>výšková úroveň prahu (dno v nadjezí) v pravém poli pohyblivého jezu:</w:t>
      </w:r>
    </w:p>
    <w:p w:rsidR="003C29AE" w:rsidRDefault="003C07AF" w:rsidP="003C07AF">
      <w:pPr>
        <w:pStyle w:val="Odstavecseseznamem"/>
        <w:numPr>
          <w:ilvl w:val="0"/>
          <w:numId w:val="12"/>
        </w:numPr>
      </w:pPr>
      <w:r>
        <w:t xml:space="preserve"> cca </w:t>
      </w:r>
      <w:r w:rsidR="00CA2A7B">
        <w:t>328,</w:t>
      </w:r>
      <w:r>
        <w:t>78 -328,80</w:t>
      </w:r>
      <w:r w:rsidR="00CA2A7B">
        <w:t xml:space="preserve"> m </w:t>
      </w:r>
      <w:proofErr w:type="gramStart"/>
      <w:r w:rsidR="00CA2A7B">
        <w:t>n.m.</w:t>
      </w:r>
      <w:proofErr w:type="gramEnd"/>
    </w:p>
    <w:p w:rsidR="00D06A08" w:rsidRDefault="00D06A08">
      <w:pPr>
        <w:spacing w:after="0"/>
        <w:jc w:val="left"/>
        <w:rPr>
          <w:i/>
        </w:rPr>
      </w:pPr>
      <w:r>
        <w:rPr>
          <w:i/>
        </w:rPr>
        <w:br w:type="page"/>
      </w:r>
    </w:p>
    <w:p w:rsidR="003C29AE" w:rsidRPr="00D06A08" w:rsidRDefault="003C29AE" w:rsidP="003C29AE">
      <w:pPr>
        <w:rPr>
          <w:i/>
          <w:u w:val="single"/>
        </w:rPr>
      </w:pPr>
      <w:r w:rsidRPr="00D06A08">
        <w:rPr>
          <w:i/>
          <w:u w:val="single"/>
        </w:rPr>
        <w:lastRenderedPageBreak/>
        <w:t>Měření průtoků v toku:</w:t>
      </w:r>
    </w:p>
    <w:p w:rsidR="00031A51" w:rsidRPr="003C07AF" w:rsidRDefault="00031A51" w:rsidP="00031A51">
      <w:pPr>
        <w:rPr>
          <w:i/>
        </w:rPr>
      </w:pPr>
      <w:r w:rsidRPr="003C07AF">
        <w:rPr>
          <w:i/>
        </w:rPr>
        <w:t xml:space="preserve">Pro sledování povodňových stavů na </w:t>
      </w:r>
      <w:proofErr w:type="spellStart"/>
      <w:r w:rsidRPr="003C07AF">
        <w:rPr>
          <w:i/>
        </w:rPr>
        <w:t>Mandavě</w:t>
      </w:r>
      <w:proofErr w:type="spellEnd"/>
      <w:r w:rsidRPr="003C07AF">
        <w:rPr>
          <w:i/>
        </w:rPr>
        <w:t xml:space="preserve"> může být využito internetových stránek Povodí Ohře, státní podnik: </w:t>
      </w:r>
    </w:p>
    <w:p w:rsidR="00031A51" w:rsidRPr="003C07AF" w:rsidRDefault="00B575E6" w:rsidP="00031A51">
      <w:pPr>
        <w:rPr>
          <w:rStyle w:val="Hypertextovodkaz"/>
          <w:i/>
          <w:color w:val="auto"/>
        </w:rPr>
      </w:pPr>
      <w:hyperlink r:id="rId8" w:history="1">
        <w:r w:rsidR="00031A51" w:rsidRPr="003C07AF">
          <w:rPr>
            <w:rStyle w:val="Hypertextovodkaz"/>
            <w:i/>
            <w:color w:val="auto"/>
          </w:rPr>
          <w:t>http://sap.poh.cz/portal/SaP/cz/PC/Mereni.aspx?id=3424&amp;oid=3</w:t>
        </w:r>
      </w:hyperlink>
    </w:p>
    <w:p w:rsidR="00CA2A7B" w:rsidRDefault="00031A51" w:rsidP="00D06A08">
      <w:r w:rsidRPr="003C07AF">
        <w:rPr>
          <w:i/>
        </w:rPr>
        <w:t xml:space="preserve">Stavy a průtoky na vodních tocích, </w:t>
      </w:r>
      <w:proofErr w:type="spellStart"/>
      <w:r w:rsidRPr="003C07AF">
        <w:rPr>
          <w:i/>
        </w:rPr>
        <w:t>Mandava</w:t>
      </w:r>
      <w:proofErr w:type="spellEnd"/>
      <w:r w:rsidRPr="003C07AF">
        <w:rPr>
          <w:i/>
        </w:rPr>
        <w:t xml:space="preserve"> – HVT </w:t>
      </w:r>
      <w:proofErr w:type="gramStart"/>
      <w:r w:rsidRPr="003C07AF">
        <w:rPr>
          <w:i/>
        </w:rPr>
        <w:t>č.14</w:t>
      </w:r>
      <w:proofErr w:type="gramEnd"/>
      <w:r w:rsidRPr="003C07AF">
        <w:rPr>
          <w:i/>
        </w:rPr>
        <w:t xml:space="preserve"> – LG Varnsdorf.</w:t>
      </w:r>
      <w:bookmarkStart w:id="32" w:name="OLE_LINK1"/>
    </w:p>
    <w:p w:rsidR="00D06A08" w:rsidRPr="00D06A08" w:rsidRDefault="00D06A08" w:rsidP="00D06A08">
      <w:pPr>
        <w:rPr>
          <w:i/>
        </w:rPr>
      </w:pPr>
    </w:p>
    <w:p w:rsidR="003C4F98" w:rsidRPr="00237730" w:rsidRDefault="003C4F98" w:rsidP="003C4F98">
      <w:pPr>
        <w:pStyle w:val="Nadpis3"/>
      </w:pPr>
      <w:bookmarkStart w:id="33" w:name="_Toc10210064"/>
      <w:r w:rsidRPr="00237730">
        <w:t>Omezení prací</w:t>
      </w:r>
      <w:bookmarkEnd w:id="33"/>
    </w:p>
    <w:p w:rsidR="008F37F7" w:rsidRDefault="001D2C43" w:rsidP="008F37F7">
      <w:r>
        <w:t xml:space="preserve">Vyhrazené plochy pro zařízení staveniště a pro </w:t>
      </w:r>
      <w:proofErr w:type="spellStart"/>
      <w:r>
        <w:t>mezideponie</w:t>
      </w:r>
      <w:proofErr w:type="spellEnd"/>
      <w:r>
        <w:t xml:space="preserve"> materiálu a stavebního odpadu jsou umístěny nad hranicí Q</w:t>
      </w:r>
      <w:r w:rsidRPr="001D2C43">
        <w:rPr>
          <w:vertAlign w:val="subscript"/>
        </w:rPr>
        <w:t>100</w:t>
      </w:r>
      <w:r>
        <w:t>.</w:t>
      </w:r>
    </w:p>
    <w:p w:rsidR="001D2C43" w:rsidRDefault="001D2C43" w:rsidP="008F37F7">
      <w:r>
        <w:t>Vlastní práce probíhají na jezu a v pod</w:t>
      </w:r>
      <w:r w:rsidR="00DF4BA4">
        <w:t>jezí</w:t>
      </w:r>
      <w:r>
        <w:t>.</w:t>
      </w:r>
    </w:p>
    <w:p w:rsidR="003C4F98" w:rsidRPr="00237730" w:rsidRDefault="003C4F98" w:rsidP="003C4F98">
      <w:r w:rsidRPr="00237730">
        <w:t>S ohledem na charakter výstavby budou práce omezeny při dosažení jednotlivých SPA následujícím způsobem:</w:t>
      </w:r>
    </w:p>
    <w:bookmarkEnd w:id="32"/>
    <w:p w:rsidR="003C4F98" w:rsidRPr="00237730" w:rsidRDefault="003C4F98" w:rsidP="003C4F98">
      <w:pPr>
        <w:rPr>
          <w:b/>
          <w:bCs/>
          <w:u w:val="single"/>
        </w:rPr>
      </w:pPr>
      <w:r w:rsidRPr="00237730">
        <w:rPr>
          <w:b/>
          <w:bCs/>
          <w:u w:val="single"/>
        </w:rPr>
        <w:t>I. stupeň povodňové aktivity - bdělost</w:t>
      </w:r>
    </w:p>
    <w:p w:rsidR="008348FE" w:rsidRPr="000B3E25" w:rsidRDefault="008348FE" w:rsidP="008348FE">
      <w:r>
        <w:t>Stupeň povodňové aktivity vyhlašuje stavbyvedoucí, informuje TDI.</w:t>
      </w:r>
    </w:p>
    <w:p w:rsidR="003C4F98" w:rsidRPr="00237730" w:rsidRDefault="003C4F98" w:rsidP="003C4F98">
      <w:r w:rsidRPr="00237730">
        <w:t>V korytě nesmí být nic, co by mohlo ohrozit jakost vody nebo co by mohlo být odplaveno.</w:t>
      </w:r>
    </w:p>
    <w:p w:rsidR="003C4F98" w:rsidRPr="00237730" w:rsidRDefault="003C4F98" w:rsidP="003C4F98">
      <w:r w:rsidRPr="00237730">
        <w:t>Ostatní práce na staveništi p</w:t>
      </w:r>
      <w:r w:rsidR="00031A51">
        <w:t>okračují v omezeném režimu v závislosti na přístupu</w:t>
      </w:r>
      <w:r w:rsidRPr="00237730">
        <w:t xml:space="preserve">. Provádí se častější kontrola (min. 2 x denně) a zjištěné vodní stavy se zapisují do stavebního deníku. </w:t>
      </w:r>
    </w:p>
    <w:p w:rsidR="003C4F98" w:rsidRDefault="003C4F98" w:rsidP="003C4F98">
      <w:r w:rsidRPr="00237730">
        <w:t xml:space="preserve">V případě, že bude docházet k zatápění prostoru </w:t>
      </w:r>
      <w:r w:rsidR="00237730" w:rsidRPr="00237730">
        <w:t>podjezí</w:t>
      </w:r>
      <w:r w:rsidRPr="00237730">
        <w:t>, budou práce v zatápěném prostoru</w:t>
      </w:r>
      <w:r w:rsidR="00031A51">
        <w:t xml:space="preserve"> zcela</w:t>
      </w:r>
      <w:r w:rsidRPr="00237730">
        <w:t xml:space="preserve"> přerušeny.</w:t>
      </w:r>
    </w:p>
    <w:p w:rsidR="003C4F98" w:rsidRPr="000B3E25" w:rsidRDefault="003C4F98" w:rsidP="003C4F98">
      <w:pPr>
        <w:rPr>
          <w:b/>
          <w:bCs/>
          <w:color w:val="FF0000"/>
          <w:u w:val="single"/>
        </w:rPr>
      </w:pPr>
    </w:p>
    <w:p w:rsidR="003C4F98" w:rsidRPr="000B3E25" w:rsidRDefault="003C4F98" w:rsidP="003C4F98">
      <w:pPr>
        <w:rPr>
          <w:b/>
          <w:bCs/>
          <w:u w:val="single"/>
        </w:rPr>
      </w:pPr>
      <w:r w:rsidRPr="000B3E25">
        <w:rPr>
          <w:b/>
          <w:bCs/>
          <w:u w:val="single"/>
        </w:rPr>
        <w:t>II. stupeň povodňové aktivity - pohotovost</w:t>
      </w:r>
    </w:p>
    <w:p w:rsidR="008348FE" w:rsidRPr="000B3E25" w:rsidRDefault="008348FE" w:rsidP="008348FE">
      <w:r>
        <w:t>Stupeň povodňové aktivity vyhlašuje stavbyvedoucí, informuje TDI.</w:t>
      </w:r>
    </w:p>
    <w:p w:rsidR="008348FE" w:rsidRDefault="003C4F98" w:rsidP="003C4F98">
      <w:r w:rsidRPr="000B3E25">
        <w:t xml:space="preserve">Jsou přerušeny </w:t>
      </w:r>
      <w:r w:rsidR="008348FE">
        <w:t>veškeré pracovní činnosti, bude zahájen odvoz</w:t>
      </w:r>
      <w:r w:rsidR="008348FE" w:rsidRPr="008348FE">
        <w:t xml:space="preserve"> mechanizace a materiálů</w:t>
      </w:r>
      <w:r w:rsidR="00DF4BA4">
        <w:t>,</w:t>
      </w:r>
      <w:r w:rsidR="008348FE">
        <w:t xml:space="preserve"> </w:t>
      </w:r>
      <w:r w:rsidR="008348FE" w:rsidRPr="008348FE">
        <w:t xml:space="preserve">které by se zaplavením znehodnotily nebo mohly způsobit škody, popř. vytvořit </w:t>
      </w:r>
      <w:r w:rsidR="008348FE">
        <w:t>překážku plynulému odtoku vody. O</w:t>
      </w:r>
      <w:r w:rsidR="008348FE" w:rsidRPr="008348FE">
        <w:t xml:space="preserve">dpojení staveništních rozvodů el. </w:t>
      </w:r>
      <w:proofErr w:type="gramStart"/>
      <w:r w:rsidR="008348FE" w:rsidRPr="008348FE">
        <w:t>energie</w:t>
      </w:r>
      <w:proofErr w:type="gramEnd"/>
      <w:r w:rsidR="008348FE" w:rsidRPr="008348FE">
        <w:t xml:space="preserve"> a rozvaděčů od zdroj</w:t>
      </w:r>
      <w:r w:rsidR="008348FE">
        <w:t>e, odstranění provizorní jímky.</w:t>
      </w:r>
    </w:p>
    <w:p w:rsidR="003C4F98" w:rsidRDefault="003C4F98" w:rsidP="003C4F98">
      <w:r w:rsidRPr="000B3E25">
        <w:t>Častěji se sleduje stav vody a rychlost jejího případného stoupání. Zjištěné stavy se zapisují do deníku. Stav bude ohlášen správci toku a zhotovitel stavby bude kontrolovat staveniště a ústupové cesty. Stav pohotovosti bude vyhlášen též v případě, že v oblasti staveniště dojde k naplavených předmětů.</w:t>
      </w:r>
    </w:p>
    <w:p w:rsidR="003C4F98" w:rsidRPr="000B3E25" w:rsidRDefault="003C4F98" w:rsidP="003C4F98">
      <w:pPr>
        <w:rPr>
          <w:b/>
          <w:bCs/>
          <w:color w:val="FF0000"/>
          <w:u w:val="single"/>
        </w:rPr>
      </w:pPr>
    </w:p>
    <w:p w:rsidR="003C4F98" w:rsidRPr="000B3E25" w:rsidRDefault="003C4F98" w:rsidP="003C4F98">
      <w:pPr>
        <w:rPr>
          <w:b/>
          <w:bCs/>
          <w:u w:val="single"/>
        </w:rPr>
      </w:pPr>
      <w:r w:rsidRPr="000B3E25">
        <w:rPr>
          <w:b/>
          <w:bCs/>
          <w:u w:val="single"/>
        </w:rPr>
        <w:t xml:space="preserve">III. stupeň povodňové aktivity </w:t>
      </w:r>
      <w:r w:rsidR="00C610DB">
        <w:rPr>
          <w:b/>
          <w:bCs/>
          <w:u w:val="single"/>
        </w:rPr>
        <w:t>–</w:t>
      </w:r>
      <w:r w:rsidRPr="000B3E25">
        <w:rPr>
          <w:b/>
          <w:bCs/>
          <w:u w:val="single"/>
        </w:rPr>
        <w:t xml:space="preserve"> ohrožení</w:t>
      </w:r>
    </w:p>
    <w:p w:rsidR="008348FE" w:rsidRPr="000B3E25" w:rsidRDefault="008348FE" w:rsidP="008348FE">
      <w:r>
        <w:t>Stupeň povodňové aktivity vyhlašuje stavbyvedoucí, informuje TDI a povodňovou komisi.</w:t>
      </w:r>
    </w:p>
    <w:p w:rsidR="003C4F98" w:rsidRDefault="003C4F98" w:rsidP="003C4F98">
      <w:r w:rsidRPr="000B3E25">
        <w:t>Jsou přerušeny práce. Při dosažení úrovně hladiny pro III. SPA bude na stavbě přítomen i zástupce investora, aby společně se zhotovitelem stavby řešili operativně opatření k</w:t>
      </w:r>
      <w:r w:rsidR="00C610DB">
        <w:t> </w:t>
      </w:r>
      <w:r w:rsidRPr="000B3E25">
        <w:t>zamezení vzniku škod. Stav bude ohlášen správci toku. Dojde-li k</w:t>
      </w:r>
      <w:r w:rsidR="00C610DB">
        <w:t> </w:t>
      </w:r>
      <w:r w:rsidRPr="000B3E25">
        <w:t>bezprostřednímu ohrožení staveniště s</w:t>
      </w:r>
      <w:r w:rsidR="00C610DB">
        <w:t> </w:t>
      </w:r>
      <w:r w:rsidRPr="000B3E25">
        <w:t>možností vzniku škod, bude to oznámeno povodňové komisi.</w:t>
      </w:r>
    </w:p>
    <w:p w:rsidR="00C610DB" w:rsidRDefault="00C610DB" w:rsidP="003C4F98"/>
    <w:p w:rsidR="008F37F7" w:rsidRDefault="008F37F7" w:rsidP="003C4F98"/>
    <w:p w:rsidR="00D06A08" w:rsidRDefault="00D06A08">
      <w:pPr>
        <w:spacing w:after="0"/>
        <w:jc w:val="left"/>
        <w:rPr>
          <w:b/>
          <w:sz w:val="26"/>
        </w:rPr>
      </w:pPr>
    </w:p>
    <w:p w:rsidR="003C4F98" w:rsidRPr="000B3E25" w:rsidRDefault="003C4F98" w:rsidP="003C4F98">
      <w:pPr>
        <w:pStyle w:val="Nadpis3"/>
      </w:pPr>
      <w:bookmarkStart w:id="34" w:name="_Toc10210065"/>
      <w:r w:rsidRPr="000B3E25">
        <w:t>Činnost po povodni</w:t>
      </w:r>
      <w:bookmarkEnd w:id="34"/>
    </w:p>
    <w:p w:rsidR="003C4F98" w:rsidRDefault="003C4F98" w:rsidP="003C4F98">
      <w:r w:rsidRPr="000B3E25">
        <w:t>Bezprostředně po povodni proběhne prohlídka staveniště a stanovení případných škod. Na základě zjištěných skutečností proběhne náprava těchto škod. Dále dojde k</w:t>
      </w:r>
      <w:r w:rsidR="00C610DB">
        <w:t> </w:t>
      </w:r>
      <w:r w:rsidRPr="000B3E25">
        <w:t xml:space="preserve">pročištění koryta od zachycených předmětů a celkový úklid staveniště. </w:t>
      </w:r>
    </w:p>
    <w:p w:rsidR="00CA2A7B" w:rsidRPr="000B3E25" w:rsidRDefault="00CA2A7B" w:rsidP="003C4F98"/>
    <w:p w:rsidR="003C4F98" w:rsidRPr="000B3E25" w:rsidRDefault="003C4F98" w:rsidP="003C4F98">
      <w:pPr>
        <w:pStyle w:val="Nadpis3"/>
      </w:pPr>
      <w:bookmarkStart w:id="35" w:name="_Toc10210066"/>
      <w:r w:rsidRPr="000B3E25">
        <w:t>Organizace povodňové služby</w:t>
      </w:r>
      <w:bookmarkEnd w:id="35"/>
    </w:p>
    <w:p w:rsidR="003C4F98" w:rsidRDefault="003C4F98" w:rsidP="003C4F98">
      <w:r w:rsidRPr="000B3E25">
        <w:t>Ochranu vlastního staveniště zajišťuje a organizuje zhotovitel stavby. Ten je povinen průběžně sledovat stav vody a v</w:t>
      </w:r>
      <w:r w:rsidR="00C610DB">
        <w:t> </w:t>
      </w:r>
      <w:r w:rsidRPr="000B3E25">
        <w:t>období, kdy jsou očekávány vyšší vodní stavy, je nutno zajistit podle potřeby i noční službu či službu ve dnech pracovního klidu. Uvedené stupně povodňové aktivity jsou vyhlašovány s</w:t>
      </w:r>
      <w:r w:rsidR="00C610DB">
        <w:t> </w:t>
      </w:r>
      <w:r w:rsidRPr="000B3E25">
        <w:t>ohledem na zajištění bezpečnosti staveniště jako celku. Za stavu bdělosti zhotovitel zvýší četnost pozorování minimálně na 2 x denně, případně podle potřeby častěji tak, aby mohl spolehlivě sledovat nárůst průtoku. Případně je možno využít i vodohospodářský dispečink.</w:t>
      </w:r>
    </w:p>
    <w:p w:rsidR="00CA2A7B" w:rsidRDefault="00CA2A7B" w:rsidP="003C4F98"/>
    <w:p w:rsidR="002738B3" w:rsidRDefault="002738B3" w:rsidP="002738B3">
      <w:pPr>
        <w:pStyle w:val="Nadpis3"/>
      </w:pPr>
      <w:bookmarkStart w:id="36" w:name="_Toc10210067"/>
      <w:r>
        <w:t>Manipulace s</w:t>
      </w:r>
      <w:r w:rsidR="00C610DB">
        <w:t> </w:t>
      </w:r>
      <w:r>
        <w:t>poklopovým hrazením</w:t>
      </w:r>
      <w:bookmarkEnd w:id="36"/>
    </w:p>
    <w:p w:rsidR="002738B3" w:rsidRDefault="002738B3" w:rsidP="002738B3">
      <w:r>
        <w:t>Manipulace s</w:t>
      </w:r>
      <w:r w:rsidR="00C610DB">
        <w:t> </w:t>
      </w:r>
      <w:r>
        <w:t>poklopovým hrazením bude provádět osoba pověřená investorem stavby.</w:t>
      </w:r>
    </w:p>
    <w:p w:rsidR="002738B3" w:rsidRPr="002738B3" w:rsidRDefault="002738B3" w:rsidP="002738B3">
      <w:r>
        <w:t>Dodavatel stavby bude o manipulace žádat prostřednictvím TDI.</w:t>
      </w:r>
    </w:p>
    <w:p w:rsidR="000B3E25" w:rsidRPr="000B3E25" w:rsidRDefault="000B3E25">
      <w:pPr>
        <w:spacing w:after="0"/>
        <w:jc w:val="left"/>
        <w:rPr>
          <w:b/>
          <w:color w:val="FF0000"/>
          <w:sz w:val="26"/>
        </w:rPr>
      </w:pPr>
    </w:p>
    <w:p w:rsidR="003C4F98" w:rsidRPr="000B3E25" w:rsidRDefault="003C4F98" w:rsidP="003C4F98">
      <w:pPr>
        <w:pStyle w:val="Nadpis3"/>
      </w:pPr>
      <w:bookmarkStart w:id="37" w:name="_Toc10210068"/>
      <w:r w:rsidRPr="000B3E25">
        <w:t>Povodňová kniha</w:t>
      </w:r>
      <w:bookmarkEnd w:id="37"/>
    </w:p>
    <w:p w:rsidR="003C4F98" w:rsidRPr="000B3E25" w:rsidRDefault="003C4F98" w:rsidP="003C4F98">
      <w:r w:rsidRPr="000B3E25">
        <w:t>Zhotovitel stavby vede po celou dobu realizace stavebních prací povodňovou knihu dle zákona č. 254/2001 Sb. § 76, do které se zapisují zejména:</w:t>
      </w:r>
    </w:p>
    <w:p w:rsidR="003C4F98" w:rsidRPr="000B3E25" w:rsidRDefault="003C4F98" w:rsidP="00DE22C9">
      <w:pPr>
        <w:widowControl w:val="0"/>
        <w:numPr>
          <w:ilvl w:val="0"/>
          <w:numId w:val="7"/>
        </w:numPr>
        <w:suppressAutoHyphens/>
        <w:spacing w:after="0"/>
      </w:pPr>
      <w:r w:rsidRPr="000B3E25">
        <w:t>výsledky povodňových prohlídek</w:t>
      </w:r>
    </w:p>
    <w:p w:rsidR="003C4F98" w:rsidRPr="000B3E25" w:rsidRDefault="003C4F98" w:rsidP="00DE22C9">
      <w:pPr>
        <w:widowControl w:val="0"/>
        <w:numPr>
          <w:ilvl w:val="0"/>
          <w:numId w:val="7"/>
        </w:numPr>
        <w:suppressAutoHyphens/>
        <w:spacing w:after="0"/>
      </w:pPr>
      <w:r w:rsidRPr="000B3E25">
        <w:t>hodnoty překročení stanovených stupňů povodňové aktivity</w:t>
      </w:r>
    </w:p>
    <w:p w:rsidR="003C4F98" w:rsidRPr="000B3E25" w:rsidRDefault="003C4F98" w:rsidP="00DE22C9">
      <w:pPr>
        <w:widowControl w:val="0"/>
        <w:numPr>
          <w:ilvl w:val="0"/>
          <w:numId w:val="7"/>
        </w:numPr>
        <w:suppressAutoHyphens/>
        <w:spacing w:after="0"/>
      </w:pPr>
      <w:r w:rsidRPr="000B3E25">
        <w:t>znění přijatých a odeslaných zpráv souvisejících s</w:t>
      </w:r>
      <w:r w:rsidR="00C610DB">
        <w:t> </w:t>
      </w:r>
      <w:r w:rsidRPr="000B3E25">
        <w:t>povodňovou činností s</w:t>
      </w:r>
      <w:r w:rsidR="00C610DB">
        <w:t> </w:t>
      </w:r>
      <w:r w:rsidRPr="000B3E25">
        <w:t>uvedením jejich odesílatele a adresátů a s</w:t>
      </w:r>
      <w:r w:rsidR="00C610DB">
        <w:t> </w:t>
      </w:r>
      <w:r w:rsidRPr="000B3E25">
        <w:t>časovými údaji</w:t>
      </w:r>
    </w:p>
    <w:p w:rsidR="003C4F98" w:rsidRPr="000B3E25" w:rsidRDefault="003C4F98" w:rsidP="003C4F98"/>
    <w:p w:rsidR="003C4F98" w:rsidRPr="000B3E25" w:rsidRDefault="003C4F98" w:rsidP="003C4F98">
      <w:r w:rsidRPr="000B3E25">
        <w:t>Správnost údajů uvedených v</w:t>
      </w:r>
      <w:r w:rsidR="00C610DB">
        <w:t> </w:t>
      </w:r>
      <w:r w:rsidRPr="000B3E25">
        <w:t>povodňové knize potvrzuje technický dozor investora.</w:t>
      </w:r>
    </w:p>
    <w:p w:rsidR="003C4F98" w:rsidRPr="000B3E25" w:rsidRDefault="003C4F98" w:rsidP="003C4F98">
      <w:pPr>
        <w:spacing w:after="200" w:line="276" w:lineRule="auto"/>
        <w:rPr>
          <w:rFonts w:asciiTheme="majorHAnsi" w:eastAsiaTheme="majorEastAsia" w:hAnsiTheme="majorHAnsi" w:cs="Mangal"/>
          <w:b/>
          <w:bCs/>
          <w:color w:val="FF0000"/>
          <w:sz w:val="26"/>
          <w:szCs w:val="23"/>
        </w:rPr>
      </w:pPr>
    </w:p>
    <w:p w:rsidR="00D06A08" w:rsidRDefault="00D06A08">
      <w:pPr>
        <w:spacing w:after="0"/>
        <w:jc w:val="left"/>
        <w:rPr>
          <w:b/>
          <w:sz w:val="26"/>
        </w:rPr>
      </w:pPr>
      <w:r>
        <w:br w:type="page"/>
      </w:r>
    </w:p>
    <w:p w:rsidR="004D7178" w:rsidRDefault="004D7178" w:rsidP="003C4F98">
      <w:pPr>
        <w:pStyle w:val="Nadpis3"/>
      </w:pPr>
      <w:bookmarkStart w:id="38" w:name="_Toc10210069"/>
      <w:r>
        <w:lastRenderedPageBreak/>
        <w:t>Telefonické kontakty</w:t>
      </w:r>
      <w:bookmarkEnd w:id="38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4D7178" w:rsidTr="004D7178">
        <w:tc>
          <w:tcPr>
            <w:tcW w:w="5807" w:type="dxa"/>
          </w:tcPr>
          <w:p w:rsidR="004D7178" w:rsidRPr="004D7178" w:rsidRDefault="004D7178" w:rsidP="004D7178">
            <w:pPr>
              <w:rPr>
                <w:b/>
              </w:rPr>
            </w:pPr>
            <w:r w:rsidRPr="004D7178">
              <w:rPr>
                <w:b/>
              </w:rPr>
              <w:t xml:space="preserve">Správce povodí a vodního toku </w:t>
            </w:r>
            <w:proofErr w:type="spellStart"/>
            <w:r w:rsidRPr="004D7178">
              <w:rPr>
                <w:b/>
              </w:rPr>
              <w:t>Mandava</w:t>
            </w:r>
            <w:proofErr w:type="spellEnd"/>
            <w:r w:rsidRPr="004D7178">
              <w:rPr>
                <w:b/>
              </w:rPr>
              <w:t>:</w:t>
            </w:r>
          </w:p>
          <w:p w:rsidR="004D7178" w:rsidRDefault="004D7178" w:rsidP="004D7178">
            <w:r>
              <w:t>Povodí Ohře, státní podnik – odbor vodohospodářského dispečinku:</w:t>
            </w:r>
          </w:p>
          <w:p w:rsidR="004D7178" w:rsidRDefault="004D7178" w:rsidP="004D7178">
            <w:r>
              <w:t>závod Terezín:</w:t>
            </w:r>
          </w:p>
          <w:p w:rsidR="004D7178" w:rsidRDefault="004D7178" w:rsidP="004D7178">
            <w:r>
              <w:t>provozní středisko Česká Lípa:</w:t>
            </w:r>
          </w:p>
        </w:tc>
        <w:tc>
          <w:tcPr>
            <w:tcW w:w="3255" w:type="dxa"/>
          </w:tcPr>
          <w:p w:rsidR="004D7178" w:rsidRDefault="004D7178" w:rsidP="004D7178"/>
          <w:p w:rsidR="004D7178" w:rsidRDefault="004D7178" w:rsidP="004D7178">
            <w:r>
              <w:t>tel.: 474 636 306, 474 624 200 (nepřetržitá služba)</w:t>
            </w:r>
          </w:p>
          <w:p w:rsidR="004D7178" w:rsidRDefault="004D7178" w:rsidP="004D7178">
            <w:r>
              <w:t>tel.: 416 707 811</w:t>
            </w:r>
          </w:p>
          <w:p w:rsidR="004D7178" w:rsidRDefault="004D7178" w:rsidP="004D7178">
            <w:r>
              <w:t>tel.: 487 823 650, 487 882 890</w:t>
            </w:r>
          </w:p>
        </w:tc>
      </w:tr>
      <w:tr w:rsidR="004D7178" w:rsidTr="004D7178">
        <w:tc>
          <w:tcPr>
            <w:tcW w:w="5807" w:type="dxa"/>
          </w:tcPr>
          <w:p w:rsidR="004D7178" w:rsidRDefault="004D7178" w:rsidP="004D7178"/>
          <w:p w:rsidR="004D7178" w:rsidRDefault="004D7178" w:rsidP="004D7178">
            <w:r>
              <w:t xml:space="preserve">Vodoprávní úřad OŽP </w:t>
            </w:r>
            <w:proofErr w:type="spellStart"/>
            <w:r>
              <w:t>MěÚ</w:t>
            </w:r>
            <w:proofErr w:type="spellEnd"/>
            <w:r>
              <w:t xml:space="preserve"> Varnsdorf:</w:t>
            </w:r>
          </w:p>
        </w:tc>
        <w:tc>
          <w:tcPr>
            <w:tcW w:w="3255" w:type="dxa"/>
          </w:tcPr>
          <w:p w:rsidR="004D7178" w:rsidRDefault="004D7178" w:rsidP="004D7178"/>
          <w:p w:rsidR="004D7178" w:rsidRDefault="004D7178" w:rsidP="004D7178">
            <w:r>
              <w:t>tel.: 417 545 150, 417 545 154</w:t>
            </w:r>
          </w:p>
        </w:tc>
      </w:tr>
      <w:tr w:rsidR="004D7178" w:rsidTr="004D7178">
        <w:tc>
          <w:tcPr>
            <w:tcW w:w="5807" w:type="dxa"/>
          </w:tcPr>
          <w:p w:rsidR="00153E30" w:rsidRDefault="00153E30" w:rsidP="004D7178"/>
          <w:p w:rsidR="00153E30" w:rsidRDefault="00153E30" w:rsidP="004D7178">
            <w:r>
              <w:t xml:space="preserve">Český hydrometeorologický ústav, </w:t>
            </w:r>
          </w:p>
          <w:p w:rsidR="004D7178" w:rsidRDefault="00153E30" w:rsidP="004D7178">
            <w:r>
              <w:t>pobočka Ústí nad Labem:</w:t>
            </w:r>
          </w:p>
          <w:p w:rsidR="00153E30" w:rsidRDefault="00153E30" w:rsidP="004D7178">
            <w:proofErr w:type="spellStart"/>
            <w:r>
              <w:t>hydroprognóza</w:t>
            </w:r>
            <w:proofErr w:type="spellEnd"/>
            <w:r>
              <w:t>:</w:t>
            </w:r>
          </w:p>
          <w:p w:rsidR="00153E30" w:rsidRDefault="00153E30" w:rsidP="004D7178">
            <w:proofErr w:type="spellStart"/>
            <w:r>
              <w:t>meteoprognóza</w:t>
            </w:r>
            <w:proofErr w:type="spellEnd"/>
            <w:r>
              <w:t xml:space="preserve">: </w:t>
            </w:r>
          </w:p>
        </w:tc>
        <w:tc>
          <w:tcPr>
            <w:tcW w:w="3255" w:type="dxa"/>
          </w:tcPr>
          <w:p w:rsidR="00153E30" w:rsidRDefault="00153E30" w:rsidP="004D7178"/>
          <w:p w:rsidR="00153E30" w:rsidRDefault="00153E30" w:rsidP="004D7178"/>
          <w:p w:rsidR="00153E30" w:rsidRDefault="00153E30" w:rsidP="004D7178">
            <w:r>
              <w:t>tel.: 472 706 030</w:t>
            </w:r>
          </w:p>
          <w:p w:rsidR="00153E30" w:rsidRDefault="00153E30" w:rsidP="004D7178">
            <w:r>
              <w:t>tel.: 472 706 046</w:t>
            </w:r>
          </w:p>
          <w:p w:rsidR="00153E30" w:rsidRDefault="00153E30" w:rsidP="004D7178">
            <w:r>
              <w:t>tel.: 472 706 051</w:t>
            </w:r>
          </w:p>
        </w:tc>
      </w:tr>
      <w:tr w:rsidR="00153E30" w:rsidTr="004D7178">
        <w:tc>
          <w:tcPr>
            <w:tcW w:w="5807" w:type="dxa"/>
          </w:tcPr>
          <w:p w:rsidR="00153E30" w:rsidRDefault="00153E30" w:rsidP="004D7178"/>
          <w:p w:rsidR="00153E30" w:rsidRDefault="00153E30" w:rsidP="004D7178">
            <w:r>
              <w:t xml:space="preserve">Hasičský záchranný sbor, </w:t>
            </w:r>
          </w:p>
          <w:p w:rsidR="00153E30" w:rsidRDefault="00153E30" w:rsidP="004D7178">
            <w:r>
              <w:t>tísňová linka + územní odbor Děčín:</w:t>
            </w:r>
          </w:p>
        </w:tc>
        <w:tc>
          <w:tcPr>
            <w:tcW w:w="3255" w:type="dxa"/>
          </w:tcPr>
          <w:p w:rsidR="00153E30" w:rsidRDefault="00153E30" w:rsidP="004D7178"/>
          <w:p w:rsidR="00153E30" w:rsidRDefault="00153E30" w:rsidP="004D7178"/>
          <w:p w:rsidR="00153E30" w:rsidRDefault="00153E30" w:rsidP="004D7178">
            <w:r>
              <w:t>tel.: 950 435 111</w:t>
            </w:r>
          </w:p>
        </w:tc>
      </w:tr>
      <w:tr w:rsidR="00153E30" w:rsidTr="004D7178">
        <w:tc>
          <w:tcPr>
            <w:tcW w:w="5807" w:type="dxa"/>
          </w:tcPr>
          <w:p w:rsidR="00153E30" w:rsidRDefault="00153E30" w:rsidP="004D7178"/>
          <w:p w:rsidR="00153E30" w:rsidRDefault="00153E30" w:rsidP="00EF5528">
            <w:r>
              <w:t xml:space="preserve">Policie ČR, </w:t>
            </w:r>
            <w:r w:rsidR="00EF5528">
              <w:t>Obvodní oddělení Varnsdorf</w:t>
            </w:r>
          </w:p>
        </w:tc>
        <w:tc>
          <w:tcPr>
            <w:tcW w:w="3255" w:type="dxa"/>
          </w:tcPr>
          <w:p w:rsidR="00EF5528" w:rsidRDefault="00EF5528" w:rsidP="004D7178"/>
          <w:p w:rsidR="00153E30" w:rsidRDefault="00153E30" w:rsidP="004D7178">
            <w:r>
              <w:t>tel.:</w:t>
            </w:r>
            <w:r w:rsidR="00EF5528">
              <w:t xml:space="preserve"> </w:t>
            </w:r>
            <w:r>
              <w:t>974 441</w:t>
            </w:r>
            <w:r w:rsidRPr="00153E30">
              <w:t>600</w:t>
            </w:r>
            <w:r w:rsidR="00EF5528">
              <w:t xml:space="preserve">, </w:t>
            </w:r>
            <w:r w:rsidRPr="00153E30">
              <w:t>412 372 333</w:t>
            </w:r>
          </w:p>
        </w:tc>
      </w:tr>
    </w:tbl>
    <w:p w:rsidR="004D7178" w:rsidRPr="004D7178" w:rsidRDefault="004D7178" w:rsidP="004D7178"/>
    <w:p w:rsidR="00EF5528" w:rsidRDefault="00EF5528">
      <w:pPr>
        <w:spacing w:after="0"/>
        <w:jc w:val="left"/>
        <w:rPr>
          <w:b/>
          <w:sz w:val="26"/>
        </w:rPr>
      </w:pPr>
      <w:r>
        <w:br w:type="page"/>
      </w:r>
    </w:p>
    <w:p w:rsidR="003C4F98" w:rsidRPr="000B3E25" w:rsidRDefault="003C4F98" w:rsidP="003C4F98">
      <w:pPr>
        <w:pStyle w:val="Nadpis3"/>
      </w:pPr>
      <w:bookmarkStart w:id="39" w:name="_Toc10210070"/>
      <w:r w:rsidRPr="000B3E25">
        <w:lastRenderedPageBreak/>
        <w:t>Odpovědné osoby stavby</w:t>
      </w:r>
      <w:bookmarkEnd w:id="39"/>
    </w:p>
    <w:p w:rsidR="003C4F98" w:rsidRPr="000B3E25" w:rsidRDefault="003C4F98" w:rsidP="003C4F98">
      <w:r w:rsidRPr="000B3E25">
        <w:t>Následující seznam odpovědných osob stavby musí být doplněn v</w:t>
      </w:r>
      <w:r w:rsidR="00C610DB">
        <w:t> </w:t>
      </w:r>
      <w:r w:rsidRPr="000B3E25">
        <w:t>době zahájení stavebních prací. Při změně odpovědných osob musí být údaje ihned aktualizovány.</w:t>
      </w:r>
    </w:p>
    <w:p w:rsidR="003C4F98" w:rsidRPr="000B3E25" w:rsidRDefault="003C4F98" w:rsidP="003C4F98"/>
    <w:tbl>
      <w:tblPr>
        <w:tblW w:w="9614" w:type="dxa"/>
        <w:tblInd w:w="52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2399"/>
        <w:gridCol w:w="2157"/>
        <w:gridCol w:w="5058"/>
      </w:tblGrid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Stavbyvedoucí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Jméno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Telefon- práce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 xml:space="preserve">Telefon </w:t>
            </w:r>
            <w:r w:rsidR="00C610DB">
              <w:rPr>
                <w:sz w:val="16"/>
                <w:szCs w:val="16"/>
              </w:rPr>
              <w:t>–</w:t>
            </w:r>
            <w:r w:rsidRPr="000B3E25">
              <w:rPr>
                <w:sz w:val="16"/>
                <w:szCs w:val="16"/>
              </w:rPr>
              <w:t xml:space="preserve"> domů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Zástupce stavbyvedoucího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Jméno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Telefon- práce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 xml:space="preserve">Telefon </w:t>
            </w:r>
            <w:r w:rsidR="00C610DB">
              <w:rPr>
                <w:sz w:val="16"/>
                <w:szCs w:val="16"/>
              </w:rPr>
              <w:t>–</w:t>
            </w:r>
            <w:r w:rsidRPr="000B3E25">
              <w:rPr>
                <w:sz w:val="16"/>
                <w:szCs w:val="16"/>
              </w:rPr>
              <w:t xml:space="preserve"> domů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 xml:space="preserve">Stavební dozor </w:t>
            </w:r>
            <w:r w:rsidR="00C610DB">
              <w:rPr>
                <w:sz w:val="16"/>
                <w:szCs w:val="16"/>
              </w:rPr>
              <w:t>–</w:t>
            </w:r>
            <w:r w:rsidRPr="000B3E25">
              <w:rPr>
                <w:sz w:val="16"/>
                <w:szCs w:val="16"/>
              </w:rPr>
              <w:t xml:space="preserve"> TDI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Jméno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Telefon- práce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0B3E25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 xml:space="preserve">Telefon </w:t>
            </w:r>
            <w:r w:rsidR="00C610DB">
              <w:rPr>
                <w:sz w:val="16"/>
                <w:szCs w:val="16"/>
              </w:rPr>
              <w:t>–</w:t>
            </w:r>
            <w:r w:rsidRPr="000B3E25">
              <w:rPr>
                <w:sz w:val="16"/>
                <w:szCs w:val="16"/>
              </w:rPr>
              <w:t xml:space="preserve"> domů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F98" w:rsidRPr="000B3E25" w:rsidRDefault="003C4F98" w:rsidP="00D06A08">
            <w:pPr>
              <w:snapToGrid w:val="0"/>
              <w:rPr>
                <w:sz w:val="16"/>
                <w:szCs w:val="16"/>
              </w:rPr>
            </w:pPr>
          </w:p>
        </w:tc>
      </w:tr>
      <w:tr w:rsidR="00C610DB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Povodňová komise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Jméno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</w:tr>
      <w:tr w:rsidR="00C610DB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Adresa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</w:tr>
      <w:tr w:rsidR="00C610DB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>Telefon- práce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</w:tr>
      <w:tr w:rsidR="00C610DB" w:rsidRPr="000B3E25" w:rsidTr="00C610DB">
        <w:trPr>
          <w:trHeight w:val="340"/>
        </w:trPr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  <w:r w:rsidRPr="000B3E25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–</w:t>
            </w:r>
            <w:r w:rsidRPr="000B3E25">
              <w:rPr>
                <w:sz w:val="16"/>
                <w:szCs w:val="16"/>
              </w:rPr>
              <w:t xml:space="preserve"> domů</w:t>
            </w:r>
          </w:p>
        </w:tc>
        <w:tc>
          <w:tcPr>
            <w:tcW w:w="5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0DB" w:rsidRPr="000B3E25" w:rsidRDefault="00C610DB" w:rsidP="00C610DB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3C4F98" w:rsidRPr="000B3E25" w:rsidRDefault="003C4F98" w:rsidP="003C4F98"/>
    <w:p w:rsidR="003C4F98" w:rsidRPr="000B3E25" w:rsidRDefault="003C4F98" w:rsidP="003C4F98">
      <w:r w:rsidRPr="000B3E25">
        <w:t>Povodňový plán začíná platit dnem zahájení stavby a za jeho dodržování odpovídají pracovníci zhotovitele a odběratele.</w:t>
      </w:r>
    </w:p>
    <w:p w:rsidR="003C4F98" w:rsidRPr="000B3E25" w:rsidRDefault="003C4F98" w:rsidP="003C4F98">
      <w:pPr>
        <w:rPr>
          <w:color w:val="FF0000"/>
        </w:rPr>
      </w:pPr>
    </w:p>
    <w:sectPr w:rsidR="003C4F98" w:rsidRPr="000B3E25" w:rsidSect="00954FF4">
      <w:headerReference w:type="even" r:id="rId9"/>
      <w:headerReference w:type="default" r:id="rId10"/>
      <w:footerReference w:type="default" r:id="rId11"/>
      <w:pgSz w:w="11907" w:h="16840" w:code="9"/>
      <w:pgMar w:top="1559" w:right="1134" w:bottom="1559" w:left="1134" w:header="567" w:footer="76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5E6" w:rsidRDefault="00B575E6">
      <w:r>
        <w:separator/>
      </w:r>
    </w:p>
    <w:p w:rsidR="00B575E6" w:rsidRDefault="00B575E6"/>
    <w:p w:rsidR="00B575E6" w:rsidRDefault="00B575E6"/>
    <w:p w:rsidR="00B575E6" w:rsidRDefault="00B575E6"/>
  </w:endnote>
  <w:endnote w:type="continuationSeparator" w:id="0">
    <w:p w:rsidR="00B575E6" w:rsidRDefault="00B575E6">
      <w:r>
        <w:continuationSeparator/>
      </w:r>
    </w:p>
    <w:p w:rsidR="00B575E6" w:rsidRDefault="00B575E6"/>
    <w:p w:rsidR="00B575E6" w:rsidRDefault="00B575E6"/>
    <w:p w:rsidR="00B575E6" w:rsidRDefault="00B57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08" w:rsidRDefault="00D06A08">
    <w:pPr>
      <w:pStyle w:val="Zpat"/>
    </w:pPr>
    <w:r>
      <w:t>VODNÍ DÍLA - TBD a.s.</w:t>
    </w:r>
    <w:r>
      <w:tab/>
    </w: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83518B">
      <w:rPr>
        <w:noProof/>
      </w:rPr>
      <w:t>2</w:t>
    </w:r>
    <w:r>
      <w:fldChar w:fldCharType="end"/>
    </w:r>
    <w:bookmarkStart w:id="40" w:name="_Toc382725287"/>
    <w:bookmarkStart w:id="41" w:name="_Toc382725762"/>
    <w:bookmarkStart w:id="42" w:name="_Toc401316801"/>
    <w:bookmarkStart w:id="43" w:name="_Toc492458467"/>
    <w:bookmarkStart w:id="44" w:name="_Toc525381848"/>
    <w:bookmarkEnd w:id="40"/>
    <w:bookmarkEnd w:id="41"/>
    <w:bookmarkEnd w:id="42"/>
    <w:bookmarkEnd w:id="43"/>
    <w:bookmarkEnd w:id="4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5E6" w:rsidRDefault="00B575E6">
      <w:r>
        <w:separator/>
      </w:r>
    </w:p>
    <w:p w:rsidR="00B575E6" w:rsidRDefault="00B575E6"/>
    <w:p w:rsidR="00B575E6" w:rsidRDefault="00B575E6"/>
    <w:p w:rsidR="00B575E6" w:rsidRDefault="00B575E6"/>
  </w:footnote>
  <w:footnote w:type="continuationSeparator" w:id="0">
    <w:p w:rsidR="00B575E6" w:rsidRDefault="00B575E6">
      <w:r>
        <w:continuationSeparator/>
      </w:r>
    </w:p>
    <w:p w:rsidR="00B575E6" w:rsidRDefault="00B575E6"/>
    <w:p w:rsidR="00B575E6" w:rsidRDefault="00B575E6"/>
    <w:p w:rsidR="00B575E6" w:rsidRDefault="00B575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08" w:rsidRDefault="00D06A08"/>
  <w:p w:rsidR="00D06A08" w:rsidRDefault="00D06A08"/>
  <w:p w:rsidR="00D06A08" w:rsidRDefault="00D06A08"/>
  <w:p w:rsidR="00D06A08" w:rsidRDefault="00D06A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08" w:rsidRDefault="00D06A08" w:rsidP="007B66EC">
    <w:pPr>
      <w:pStyle w:val="Zhlav"/>
      <w:spacing w:after="0"/>
    </w:pPr>
    <w:r>
      <w:t>Jez Varnsdorf – sanace průsaků ve středovém pilíři</w:t>
    </w:r>
  </w:p>
  <w:p w:rsidR="00D06A08" w:rsidRDefault="00863951" w:rsidP="007B66EC">
    <w:pPr>
      <w:pStyle w:val="Zhlav"/>
      <w:spacing w:before="0"/>
    </w:pPr>
    <w:r>
      <w:t>NÁVRH POVODŇOVÉHO PLÁNU</w:t>
    </w:r>
    <w:r w:rsidR="00D06A08">
      <w:t xml:space="preserve">               </w:t>
    </w:r>
    <w:r w:rsidR="00D06A08">
      <w:tab/>
      <w:t>DSJ (DSP, DPS)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2904012"/>
    <w:lvl w:ilvl="0">
      <w:start w:val="1"/>
      <w:numFmt w:val="none"/>
      <w:pStyle w:val="Nadpis1"/>
      <w:lvlText w:val="CH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CH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CH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CH.%2.%3.%4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CH.%2.%3.%4.%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CH.%2.%3.%4.%5.%6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pStyle w:val="odrkypunt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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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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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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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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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346DFD"/>
    <w:multiLevelType w:val="hybridMultilevel"/>
    <w:tmpl w:val="315E5458"/>
    <w:lvl w:ilvl="0" w:tplc="550E730A">
      <w:start w:val="1"/>
      <w:numFmt w:val="bullet"/>
      <w:pStyle w:val="Odrkybezmezery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</w:rPr>
    </w:lvl>
    <w:lvl w:ilvl="1" w:tplc="C3E22838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63B80C5C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6B18F4F4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8F6A64C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4DD69E3C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D75A5872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9530F4D4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1B888692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4" w15:restartNumberingAfterBreak="0">
    <w:nsid w:val="08D47109"/>
    <w:multiLevelType w:val="singleLevel"/>
    <w:tmpl w:val="72E098FA"/>
    <w:name w:val="WW8Num3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6" w15:restartNumberingAfterBreak="0">
    <w:nsid w:val="34001A9F"/>
    <w:multiLevelType w:val="multilevel"/>
    <w:tmpl w:val="93C0C3D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7A62C13"/>
    <w:multiLevelType w:val="hybridMultilevel"/>
    <w:tmpl w:val="8842E812"/>
    <w:lvl w:ilvl="0" w:tplc="E5EC0FC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524B"/>
    <w:multiLevelType w:val="hybridMultilevel"/>
    <w:tmpl w:val="45E4C7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30B34"/>
    <w:multiLevelType w:val="hybridMultilevel"/>
    <w:tmpl w:val="A64EAE32"/>
    <w:lvl w:ilvl="0" w:tplc="BF4E85F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CE3AE5"/>
    <w:multiLevelType w:val="hybridMultilevel"/>
    <w:tmpl w:val="D1FA0EF8"/>
    <w:lvl w:ilvl="0" w:tplc="995E2D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95E2D8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654C9"/>
    <w:multiLevelType w:val="singleLevel"/>
    <w:tmpl w:val="4A9A6A64"/>
    <w:lvl w:ilvl="0">
      <w:start w:val="1"/>
      <w:numFmt w:val="bullet"/>
      <w:pStyle w:val="odrky"/>
      <w:lvlText w:val="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774B56D7"/>
    <w:multiLevelType w:val="singleLevel"/>
    <w:tmpl w:val="5F022AF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995112A"/>
    <w:multiLevelType w:val="hybridMultilevel"/>
    <w:tmpl w:val="E7625E16"/>
    <w:lvl w:ilvl="0" w:tplc="EE90ACC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5"/>
  </w:num>
  <w:num w:numId="5">
    <w:abstractNumId w:val="11"/>
  </w:num>
  <w:num w:numId="6">
    <w:abstractNumId w:val="1"/>
  </w:num>
  <w:num w:numId="7">
    <w:abstractNumId w:val="2"/>
  </w:num>
  <w:num w:numId="8">
    <w:abstractNumId w:val="10"/>
  </w:num>
  <w:num w:numId="9">
    <w:abstractNumId w:val="9"/>
  </w:num>
  <w:num w:numId="10">
    <w:abstractNumId w:val="0"/>
  </w:num>
  <w:num w:numId="11">
    <w:abstractNumId w:val="13"/>
  </w:num>
  <w:num w:numId="12">
    <w:abstractNumId w:val="7"/>
  </w:num>
  <w:num w:numId="13">
    <w:abstractNumId w:val="6"/>
  </w:num>
  <w:num w:numId="14">
    <w:abstractNumId w:val="0"/>
  </w:num>
  <w:num w:numId="15">
    <w:abstractNumId w:val="8"/>
  </w:num>
  <w:num w:numId="16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8C"/>
    <w:rsid w:val="000014CA"/>
    <w:rsid w:val="00005FE7"/>
    <w:rsid w:val="000150D9"/>
    <w:rsid w:val="00017FB7"/>
    <w:rsid w:val="000208A4"/>
    <w:rsid w:val="00020B48"/>
    <w:rsid w:val="00020E85"/>
    <w:rsid w:val="000220AD"/>
    <w:rsid w:val="000239E5"/>
    <w:rsid w:val="000309DA"/>
    <w:rsid w:val="00031A51"/>
    <w:rsid w:val="000324CD"/>
    <w:rsid w:val="00033002"/>
    <w:rsid w:val="000333BD"/>
    <w:rsid w:val="000337FC"/>
    <w:rsid w:val="000343F0"/>
    <w:rsid w:val="00034F7E"/>
    <w:rsid w:val="0004315B"/>
    <w:rsid w:val="00046B9F"/>
    <w:rsid w:val="0005157E"/>
    <w:rsid w:val="0005477D"/>
    <w:rsid w:val="000565C1"/>
    <w:rsid w:val="00057A5D"/>
    <w:rsid w:val="000664F0"/>
    <w:rsid w:val="00066F91"/>
    <w:rsid w:val="0007480A"/>
    <w:rsid w:val="00076DAC"/>
    <w:rsid w:val="00080591"/>
    <w:rsid w:val="00080D8D"/>
    <w:rsid w:val="00086DFE"/>
    <w:rsid w:val="00094A6B"/>
    <w:rsid w:val="00097655"/>
    <w:rsid w:val="00097B06"/>
    <w:rsid w:val="000A2950"/>
    <w:rsid w:val="000B3E25"/>
    <w:rsid w:val="000B68B5"/>
    <w:rsid w:val="000B6ACA"/>
    <w:rsid w:val="000D1665"/>
    <w:rsid w:val="000D46ED"/>
    <w:rsid w:val="000D48A4"/>
    <w:rsid w:val="000D5456"/>
    <w:rsid w:val="000E1977"/>
    <w:rsid w:val="000F242B"/>
    <w:rsid w:val="000F634D"/>
    <w:rsid w:val="000F7598"/>
    <w:rsid w:val="00100378"/>
    <w:rsid w:val="00102023"/>
    <w:rsid w:val="0010322A"/>
    <w:rsid w:val="00107BE5"/>
    <w:rsid w:val="00110448"/>
    <w:rsid w:val="00122FB6"/>
    <w:rsid w:val="001239C8"/>
    <w:rsid w:val="00127451"/>
    <w:rsid w:val="0013314E"/>
    <w:rsid w:val="001354F0"/>
    <w:rsid w:val="0014325D"/>
    <w:rsid w:val="00145BF9"/>
    <w:rsid w:val="00146A70"/>
    <w:rsid w:val="00153E30"/>
    <w:rsid w:val="00155430"/>
    <w:rsid w:val="00163619"/>
    <w:rsid w:val="00163781"/>
    <w:rsid w:val="0016570C"/>
    <w:rsid w:val="001666CE"/>
    <w:rsid w:val="00170AD8"/>
    <w:rsid w:val="001742B1"/>
    <w:rsid w:val="00181EB5"/>
    <w:rsid w:val="00187AFB"/>
    <w:rsid w:val="0019203B"/>
    <w:rsid w:val="00192D9A"/>
    <w:rsid w:val="00194948"/>
    <w:rsid w:val="001A042A"/>
    <w:rsid w:val="001A2A8D"/>
    <w:rsid w:val="001A2CC9"/>
    <w:rsid w:val="001A51CE"/>
    <w:rsid w:val="001A6DA0"/>
    <w:rsid w:val="001A7846"/>
    <w:rsid w:val="001A7B99"/>
    <w:rsid w:val="001B0E37"/>
    <w:rsid w:val="001B26D9"/>
    <w:rsid w:val="001B318E"/>
    <w:rsid w:val="001D04C2"/>
    <w:rsid w:val="001D142C"/>
    <w:rsid w:val="001D2042"/>
    <w:rsid w:val="001D2C43"/>
    <w:rsid w:val="001D4181"/>
    <w:rsid w:val="001D5748"/>
    <w:rsid w:val="001F185A"/>
    <w:rsid w:val="001F3E1F"/>
    <w:rsid w:val="001F55B4"/>
    <w:rsid w:val="001F5DF9"/>
    <w:rsid w:val="001F72EB"/>
    <w:rsid w:val="001F7E22"/>
    <w:rsid w:val="0020057B"/>
    <w:rsid w:val="00200D9D"/>
    <w:rsid w:val="00205198"/>
    <w:rsid w:val="00205633"/>
    <w:rsid w:val="00206366"/>
    <w:rsid w:val="002115EC"/>
    <w:rsid w:val="00212C1B"/>
    <w:rsid w:val="002131A9"/>
    <w:rsid w:val="0021693D"/>
    <w:rsid w:val="0022015F"/>
    <w:rsid w:val="002246A1"/>
    <w:rsid w:val="00233CFA"/>
    <w:rsid w:val="00234210"/>
    <w:rsid w:val="002343E5"/>
    <w:rsid w:val="002346DD"/>
    <w:rsid w:val="00235129"/>
    <w:rsid w:val="002353C1"/>
    <w:rsid w:val="00237730"/>
    <w:rsid w:val="00245D18"/>
    <w:rsid w:val="00246F6E"/>
    <w:rsid w:val="00247789"/>
    <w:rsid w:val="00260738"/>
    <w:rsid w:val="00261A39"/>
    <w:rsid w:val="00271E14"/>
    <w:rsid w:val="002730AF"/>
    <w:rsid w:val="002738B3"/>
    <w:rsid w:val="0027710C"/>
    <w:rsid w:val="002872D9"/>
    <w:rsid w:val="00290DAD"/>
    <w:rsid w:val="002965FD"/>
    <w:rsid w:val="00296ED3"/>
    <w:rsid w:val="002970D8"/>
    <w:rsid w:val="002A55CA"/>
    <w:rsid w:val="002A58AE"/>
    <w:rsid w:val="002C30EC"/>
    <w:rsid w:val="002C42D4"/>
    <w:rsid w:val="002C74E6"/>
    <w:rsid w:val="002C780B"/>
    <w:rsid w:val="002C7E35"/>
    <w:rsid w:val="002D159F"/>
    <w:rsid w:val="002E5EB8"/>
    <w:rsid w:val="002F2A7B"/>
    <w:rsid w:val="002F4055"/>
    <w:rsid w:val="002F6D17"/>
    <w:rsid w:val="003000B8"/>
    <w:rsid w:val="0030185A"/>
    <w:rsid w:val="00302117"/>
    <w:rsid w:val="003050F0"/>
    <w:rsid w:val="00311500"/>
    <w:rsid w:val="00313925"/>
    <w:rsid w:val="0031453D"/>
    <w:rsid w:val="00317106"/>
    <w:rsid w:val="00321EE6"/>
    <w:rsid w:val="00331555"/>
    <w:rsid w:val="00331F8C"/>
    <w:rsid w:val="0033267D"/>
    <w:rsid w:val="00336577"/>
    <w:rsid w:val="00337551"/>
    <w:rsid w:val="00342EF2"/>
    <w:rsid w:val="00342FD2"/>
    <w:rsid w:val="003439F5"/>
    <w:rsid w:val="00344CD2"/>
    <w:rsid w:val="0034642A"/>
    <w:rsid w:val="00346441"/>
    <w:rsid w:val="00354FDB"/>
    <w:rsid w:val="003569AA"/>
    <w:rsid w:val="003569AF"/>
    <w:rsid w:val="003663BB"/>
    <w:rsid w:val="00372A16"/>
    <w:rsid w:val="00374327"/>
    <w:rsid w:val="00374907"/>
    <w:rsid w:val="00375380"/>
    <w:rsid w:val="00377511"/>
    <w:rsid w:val="0037766C"/>
    <w:rsid w:val="00381076"/>
    <w:rsid w:val="00385D15"/>
    <w:rsid w:val="00386491"/>
    <w:rsid w:val="003869D4"/>
    <w:rsid w:val="003B6EEA"/>
    <w:rsid w:val="003C07AF"/>
    <w:rsid w:val="003C1E70"/>
    <w:rsid w:val="003C29AE"/>
    <w:rsid w:val="003C3867"/>
    <w:rsid w:val="003C4F98"/>
    <w:rsid w:val="003D1E22"/>
    <w:rsid w:val="003D2271"/>
    <w:rsid w:val="003E275A"/>
    <w:rsid w:val="003E7356"/>
    <w:rsid w:val="003F54AD"/>
    <w:rsid w:val="003F69EC"/>
    <w:rsid w:val="003F7555"/>
    <w:rsid w:val="00400A60"/>
    <w:rsid w:val="00401C70"/>
    <w:rsid w:val="004022AD"/>
    <w:rsid w:val="004040AA"/>
    <w:rsid w:val="004052DB"/>
    <w:rsid w:val="0040546A"/>
    <w:rsid w:val="00406E5F"/>
    <w:rsid w:val="004070E7"/>
    <w:rsid w:val="0041116B"/>
    <w:rsid w:val="00413F6B"/>
    <w:rsid w:val="0041429E"/>
    <w:rsid w:val="00414ACD"/>
    <w:rsid w:val="004163A5"/>
    <w:rsid w:val="00434484"/>
    <w:rsid w:val="004379D6"/>
    <w:rsid w:val="00442EBE"/>
    <w:rsid w:val="00443701"/>
    <w:rsid w:val="00446975"/>
    <w:rsid w:val="00460B17"/>
    <w:rsid w:val="004628BB"/>
    <w:rsid w:val="004638D0"/>
    <w:rsid w:val="00465009"/>
    <w:rsid w:val="00470F37"/>
    <w:rsid w:val="004713F1"/>
    <w:rsid w:val="004717BE"/>
    <w:rsid w:val="0047361D"/>
    <w:rsid w:val="00480A22"/>
    <w:rsid w:val="00485DDF"/>
    <w:rsid w:val="00485FD0"/>
    <w:rsid w:val="00487F76"/>
    <w:rsid w:val="004943D4"/>
    <w:rsid w:val="004950C4"/>
    <w:rsid w:val="00495753"/>
    <w:rsid w:val="004A509E"/>
    <w:rsid w:val="004B410E"/>
    <w:rsid w:val="004B45A4"/>
    <w:rsid w:val="004B7B0D"/>
    <w:rsid w:val="004C11B1"/>
    <w:rsid w:val="004C6300"/>
    <w:rsid w:val="004C7418"/>
    <w:rsid w:val="004D6898"/>
    <w:rsid w:val="004D7178"/>
    <w:rsid w:val="004D74FD"/>
    <w:rsid w:val="004E4168"/>
    <w:rsid w:val="004E6D09"/>
    <w:rsid w:val="004E7F75"/>
    <w:rsid w:val="004F4BAC"/>
    <w:rsid w:val="00505B55"/>
    <w:rsid w:val="005068C4"/>
    <w:rsid w:val="005124B3"/>
    <w:rsid w:val="00512CE8"/>
    <w:rsid w:val="00521C73"/>
    <w:rsid w:val="005221ED"/>
    <w:rsid w:val="00522464"/>
    <w:rsid w:val="00525B82"/>
    <w:rsid w:val="005266B6"/>
    <w:rsid w:val="00527F84"/>
    <w:rsid w:val="00530AE2"/>
    <w:rsid w:val="0054050B"/>
    <w:rsid w:val="00546A92"/>
    <w:rsid w:val="0055195D"/>
    <w:rsid w:val="00553CB5"/>
    <w:rsid w:val="00556DE1"/>
    <w:rsid w:val="00557ACB"/>
    <w:rsid w:val="00560702"/>
    <w:rsid w:val="005666A2"/>
    <w:rsid w:val="005671F4"/>
    <w:rsid w:val="00570D2F"/>
    <w:rsid w:val="00575381"/>
    <w:rsid w:val="005777E0"/>
    <w:rsid w:val="00583127"/>
    <w:rsid w:val="00593179"/>
    <w:rsid w:val="005A5209"/>
    <w:rsid w:val="005A5FC4"/>
    <w:rsid w:val="005B7F0B"/>
    <w:rsid w:val="005B7F4C"/>
    <w:rsid w:val="005C250B"/>
    <w:rsid w:val="005C256C"/>
    <w:rsid w:val="005C2D23"/>
    <w:rsid w:val="005D32D0"/>
    <w:rsid w:val="005D3742"/>
    <w:rsid w:val="005D5AEA"/>
    <w:rsid w:val="005E33D6"/>
    <w:rsid w:val="005E4C5F"/>
    <w:rsid w:val="005E5F6E"/>
    <w:rsid w:val="005E6A44"/>
    <w:rsid w:val="005F04C2"/>
    <w:rsid w:val="005F1653"/>
    <w:rsid w:val="005F4C01"/>
    <w:rsid w:val="005F5681"/>
    <w:rsid w:val="005F68C1"/>
    <w:rsid w:val="00601DD7"/>
    <w:rsid w:val="0060263C"/>
    <w:rsid w:val="00602A3E"/>
    <w:rsid w:val="0060596B"/>
    <w:rsid w:val="006072A6"/>
    <w:rsid w:val="00610A52"/>
    <w:rsid w:val="00622F2D"/>
    <w:rsid w:val="0063067F"/>
    <w:rsid w:val="0063164A"/>
    <w:rsid w:val="00634BE3"/>
    <w:rsid w:val="00637320"/>
    <w:rsid w:val="00640560"/>
    <w:rsid w:val="00643119"/>
    <w:rsid w:val="006435DA"/>
    <w:rsid w:val="00646669"/>
    <w:rsid w:val="00647A6E"/>
    <w:rsid w:val="00655B49"/>
    <w:rsid w:val="00657A18"/>
    <w:rsid w:val="0066196F"/>
    <w:rsid w:val="006642AE"/>
    <w:rsid w:val="0066494F"/>
    <w:rsid w:val="006664EB"/>
    <w:rsid w:val="00670174"/>
    <w:rsid w:val="0067499F"/>
    <w:rsid w:val="0068053B"/>
    <w:rsid w:val="00681342"/>
    <w:rsid w:val="00681B80"/>
    <w:rsid w:val="006837B1"/>
    <w:rsid w:val="00684AEC"/>
    <w:rsid w:val="0069250D"/>
    <w:rsid w:val="0069263B"/>
    <w:rsid w:val="00693436"/>
    <w:rsid w:val="0069602C"/>
    <w:rsid w:val="006A536B"/>
    <w:rsid w:val="006A5B26"/>
    <w:rsid w:val="006B2096"/>
    <w:rsid w:val="006B59DA"/>
    <w:rsid w:val="006C595F"/>
    <w:rsid w:val="006D2345"/>
    <w:rsid w:val="006D4FB9"/>
    <w:rsid w:val="006D5D48"/>
    <w:rsid w:val="006E278A"/>
    <w:rsid w:val="006E3E61"/>
    <w:rsid w:val="006E4B40"/>
    <w:rsid w:val="006E528F"/>
    <w:rsid w:val="006E776A"/>
    <w:rsid w:val="006F1460"/>
    <w:rsid w:val="006F242F"/>
    <w:rsid w:val="006F37A2"/>
    <w:rsid w:val="006F4AC1"/>
    <w:rsid w:val="006F4FE9"/>
    <w:rsid w:val="006F5C38"/>
    <w:rsid w:val="006F773E"/>
    <w:rsid w:val="00701EEE"/>
    <w:rsid w:val="007029DB"/>
    <w:rsid w:val="00714934"/>
    <w:rsid w:val="00716E2B"/>
    <w:rsid w:val="0072089E"/>
    <w:rsid w:val="007254DF"/>
    <w:rsid w:val="00731F6A"/>
    <w:rsid w:val="00734526"/>
    <w:rsid w:val="007370AB"/>
    <w:rsid w:val="00751142"/>
    <w:rsid w:val="007633B9"/>
    <w:rsid w:val="00765761"/>
    <w:rsid w:val="007740E0"/>
    <w:rsid w:val="00774429"/>
    <w:rsid w:val="00780046"/>
    <w:rsid w:val="00780496"/>
    <w:rsid w:val="00781543"/>
    <w:rsid w:val="007819BC"/>
    <w:rsid w:val="0078229F"/>
    <w:rsid w:val="0079002C"/>
    <w:rsid w:val="007970AA"/>
    <w:rsid w:val="00797CD9"/>
    <w:rsid w:val="00797FCD"/>
    <w:rsid w:val="007A0AF8"/>
    <w:rsid w:val="007A0B0B"/>
    <w:rsid w:val="007B343D"/>
    <w:rsid w:val="007B66EC"/>
    <w:rsid w:val="007B6DD4"/>
    <w:rsid w:val="007C2739"/>
    <w:rsid w:val="007C278B"/>
    <w:rsid w:val="007C50C6"/>
    <w:rsid w:val="007C5CC2"/>
    <w:rsid w:val="007C7BD3"/>
    <w:rsid w:val="007D0B7F"/>
    <w:rsid w:val="007D6478"/>
    <w:rsid w:val="007D6EC5"/>
    <w:rsid w:val="007E02B1"/>
    <w:rsid w:val="007E2CB2"/>
    <w:rsid w:val="007E3612"/>
    <w:rsid w:val="007F0474"/>
    <w:rsid w:val="007F0925"/>
    <w:rsid w:val="008036DF"/>
    <w:rsid w:val="00820206"/>
    <w:rsid w:val="0082129A"/>
    <w:rsid w:val="008348FE"/>
    <w:rsid w:val="0083518B"/>
    <w:rsid w:val="00835738"/>
    <w:rsid w:val="00837BD1"/>
    <w:rsid w:val="0084045C"/>
    <w:rsid w:val="00843DEC"/>
    <w:rsid w:val="0085038B"/>
    <w:rsid w:val="00863951"/>
    <w:rsid w:val="00863EEA"/>
    <w:rsid w:val="008676D3"/>
    <w:rsid w:val="00867BD4"/>
    <w:rsid w:val="00875B72"/>
    <w:rsid w:val="00876D6C"/>
    <w:rsid w:val="00882D29"/>
    <w:rsid w:val="008833D8"/>
    <w:rsid w:val="00884782"/>
    <w:rsid w:val="00893454"/>
    <w:rsid w:val="00895604"/>
    <w:rsid w:val="008A005E"/>
    <w:rsid w:val="008A4A66"/>
    <w:rsid w:val="008C3BB9"/>
    <w:rsid w:val="008D0DD7"/>
    <w:rsid w:val="008D1591"/>
    <w:rsid w:val="008D2E5D"/>
    <w:rsid w:val="008D2EA4"/>
    <w:rsid w:val="008E310D"/>
    <w:rsid w:val="008E6037"/>
    <w:rsid w:val="008E61C2"/>
    <w:rsid w:val="008F2A96"/>
    <w:rsid w:val="008F2C12"/>
    <w:rsid w:val="008F35B0"/>
    <w:rsid w:val="008F37F7"/>
    <w:rsid w:val="008F3A79"/>
    <w:rsid w:val="008F4C10"/>
    <w:rsid w:val="008F62A2"/>
    <w:rsid w:val="008F66EE"/>
    <w:rsid w:val="009022FB"/>
    <w:rsid w:val="0090690B"/>
    <w:rsid w:val="009069AC"/>
    <w:rsid w:val="00911994"/>
    <w:rsid w:val="009124A1"/>
    <w:rsid w:val="00925803"/>
    <w:rsid w:val="009321FF"/>
    <w:rsid w:val="0094107F"/>
    <w:rsid w:val="0094206F"/>
    <w:rsid w:val="009429E3"/>
    <w:rsid w:val="0094324A"/>
    <w:rsid w:val="00943CAD"/>
    <w:rsid w:val="00951A4D"/>
    <w:rsid w:val="009521EC"/>
    <w:rsid w:val="009523E6"/>
    <w:rsid w:val="00952A52"/>
    <w:rsid w:val="00954585"/>
    <w:rsid w:val="00954FF4"/>
    <w:rsid w:val="009555C2"/>
    <w:rsid w:val="00956E16"/>
    <w:rsid w:val="0096310F"/>
    <w:rsid w:val="009675DA"/>
    <w:rsid w:val="009759EB"/>
    <w:rsid w:val="00976BB0"/>
    <w:rsid w:val="0098011B"/>
    <w:rsid w:val="009801A2"/>
    <w:rsid w:val="009815D4"/>
    <w:rsid w:val="00981606"/>
    <w:rsid w:val="00982685"/>
    <w:rsid w:val="00983DE0"/>
    <w:rsid w:val="00986D80"/>
    <w:rsid w:val="00992B23"/>
    <w:rsid w:val="009935A9"/>
    <w:rsid w:val="009A045A"/>
    <w:rsid w:val="009A0ABC"/>
    <w:rsid w:val="009A42E7"/>
    <w:rsid w:val="009B048E"/>
    <w:rsid w:val="009C2B5A"/>
    <w:rsid w:val="009C3286"/>
    <w:rsid w:val="009C683C"/>
    <w:rsid w:val="009D111B"/>
    <w:rsid w:val="009D31B9"/>
    <w:rsid w:val="009D512C"/>
    <w:rsid w:val="009E0EB5"/>
    <w:rsid w:val="009E2618"/>
    <w:rsid w:val="009E2A65"/>
    <w:rsid w:val="009E2F06"/>
    <w:rsid w:val="009F3614"/>
    <w:rsid w:val="009F6ADD"/>
    <w:rsid w:val="009F7176"/>
    <w:rsid w:val="00A00241"/>
    <w:rsid w:val="00A10642"/>
    <w:rsid w:val="00A11CB3"/>
    <w:rsid w:val="00A20114"/>
    <w:rsid w:val="00A2167C"/>
    <w:rsid w:val="00A240C8"/>
    <w:rsid w:val="00A25CCA"/>
    <w:rsid w:val="00A263C8"/>
    <w:rsid w:val="00A32BBB"/>
    <w:rsid w:val="00A339A5"/>
    <w:rsid w:val="00A347DC"/>
    <w:rsid w:val="00A37CDC"/>
    <w:rsid w:val="00A41E21"/>
    <w:rsid w:val="00A50FC8"/>
    <w:rsid w:val="00A51677"/>
    <w:rsid w:val="00A57FBA"/>
    <w:rsid w:val="00A66A2B"/>
    <w:rsid w:val="00A71D3D"/>
    <w:rsid w:val="00A747BE"/>
    <w:rsid w:val="00A9026A"/>
    <w:rsid w:val="00A9653D"/>
    <w:rsid w:val="00A96D71"/>
    <w:rsid w:val="00AA1D71"/>
    <w:rsid w:val="00AA6A8B"/>
    <w:rsid w:val="00AB18ED"/>
    <w:rsid w:val="00AB336A"/>
    <w:rsid w:val="00AB3C6B"/>
    <w:rsid w:val="00AB54EB"/>
    <w:rsid w:val="00AC440E"/>
    <w:rsid w:val="00AC54E0"/>
    <w:rsid w:val="00AC6342"/>
    <w:rsid w:val="00AD0808"/>
    <w:rsid w:val="00AD663A"/>
    <w:rsid w:val="00AE18F8"/>
    <w:rsid w:val="00AE62D8"/>
    <w:rsid w:val="00B00663"/>
    <w:rsid w:val="00B00C13"/>
    <w:rsid w:val="00B05A51"/>
    <w:rsid w:val="00B068E4"/>
    <w:rsid w:val="00B12EC9"/>
    <w:rsid w:val="00B1571F"/>
    <w:rsid w:val="00B20E8B"/>
    <w:rsid w:val="00B321F0"/>
    <w:rsid w:val="00B333A8"/>
    <w:rsid w:val="00B3763B"/>
    <w:rsid w:val="00B40D98"/>
    <w:rsid w:val="00B41B30"/>
    <w:rsid w:val="00B4503F"/>
    <w:rsid w:val="00B50F6A"/>
    <w:rsid w:val="00B52F78"/>
    <w:rsid w:val="00B54A91"/>
    <w:rsid w:val="00B55A81"/>
    <w:rsid w:val="00B56067"/>
    <w:rsid w:val="00B57352"/>
    <w:rsid w:val="00B575E6"/>
    <w:rsid w:val="00B6233A"/>
    <w:rsid w:val="00B63F24"/>
    <w:rsid w:val="00B71ADC"/>
    <w:rsid w:val="00B73BCD"/>
    <w:rsid w:val="00B74A9A"/>
    <w:rsid w:val="00B75EDB"/>
    <w:rsid w:val="00B821C4"/>
    <w:rsid w:val="00B84C0C"/>
    <w:rsid w:val="00B866A8"/>
    <w:rsid w:val="00B86959"/>
    <w:rsid w:val="00B902BC"/>
    <w:rsid w:val="00B916FE"/>
    <w:rsid w:val="00B94259"/>
    <w:rsid w:val="00B94C99"/>
    <w:rsid w:val="00B97BE8"/>
    <w:rsid w:val="00BA0981"/>
    <w:rsid w:val="00BA2C7C"/>
    <w:rsid w:val="00BA3DED"/>
    <w:rsid w:val="00BA7B53"/>
    <w:rsid w:val="00BB58C2"/>
    <w:rsid w:val="00BC0F3B"/>
    <w:rsid w:val="00BC52C3"/>
    <w:rsid w:val="00BC7CEE"/>
    <w:rsid w:val="00BD1F19"/>
    <w:rsid w:val="00BD3693"/>
    <w:rsid w:val="00BD4EE7"/>
    <w:rsid w:val="00BE0D74"/>
    <w:rsid w:val="00BE32FB"/>
    <w:rsid w:val="00BF0C3D"/>
    <w:rsid w:val="00BF2755"/>
    <w:rsid w:val="00BF7AA6"/>
    <w:rsid w:val="00C00BEB"/>
    <w:rsid w:val="00C0269B"/>
    <w:rsid w:val="00C032EC"/>
    <w:rsid w:val="00C04BFE"/>
    <w:rsid w:val="00C05C64"/>
    <w:rsid w:val="00C1092D"/>
    <w:rsid w:val="00C11BAB"/>
    <w:rsid w:val="00C14C7D"/>
    <w:rsid w:val="00C15CF4"/>
    <w:rsid w:val="00C17558"/>
    <w:rsid w:val="00C20509"/>
    <w:rsid w:val="00C209D9"/>
    <w:rsid w:val="00C216D0"/>
    <w:rsid w:val="00C22B1E"/>
    <w:rsid w:val="00C23AA9"/>
    <w:rsid w:val="00C23E8D"/>
    <w:rsid w:val="00C25AE4"/>
    <w:rsid w:val="00C30D89"/>
    <w:rsid w:val="00C32F04"/>
    <w:rsid w:val="00C36517"/>
    <w:rsid w:val="00C3701E"/>
    <w:rsid w:val="00C407C7"/>
    <w:rsid w:val="00C42A74"/>
    <w:rsid w:val="00C45E6D"/>
    <w:rsid w:val="00C5715C"/>
    <w:rsid w:val="00C610DB"/>
    <w:rsid w:val="00C618E6"/>
    <w:rsid w:val="00C6234E"/>
    <w:rsid w:val="00C629BA"/>
    <w:rsid w:val="00C629FD"/>
    <w:rsid w:val="00C6677D"/>
    <w:rsid w:val="00C67748"/>
    <w:rsid w:val="00C67BF5"/>
    <w:rsid w:val="00C7058F"/>
    <w:rsid w:val="00C70BAB"/>
    <w:rsid w:val="00C728AF"/>
    <w:rsid w:val="00C7432F"/>
    <w:rsid w:val="00C7709E"/>
    <w:rsid w:val="00C854B4"/>
    <w:rsid w:val="00C91E53"/>
    <w:rsid w:val="00C923E9"/>
    <w:rsid w:val="00C94570"/>
    <w:rsid w:val="00C96603"/>
    <w:rsid w:val="00CA22E6"/>
    <w:rsid w:val="00CA2A7B"/>
    <w:rsid w:val="00CB1CF5"/>
    <w:rsid w:val="00CB5126"/>
    <w:rsid w:val="00CC3049"/>
    <w:rsid w:val="00CC7B48"/>
    <w:rsid w:val="00CD13A4"/>
    <w:rsid w:val="00CD3930"/>
    <w:rsid w:val="00CD6FF2"/>
    <w:rsid w:val="00CD783C"/>
    <w:rsid w:val="00CD7BB0"/>
    <w:rsid w:val="00CE039B"/>
    <w:rsid w:val="00CE3C1A"/>
    <w:rsid w:val="00CE4AF0"/>
    <w:rsid w:val="00CF4110"/>
    <w:rsid w:val="00CF43EA"/>
    <w:rsid w:val="00CF5570"/>
    <w:rsid w:val="00CF5C24"/>
    <w:rsid w:val="00D006E0"/>
    <w:rsid w:val="00D0282C"/>
    <w:rsid w:val="00D065D0"/>
    <w:rsid w:val="00D06A08"/>
    <w:rsid w:val="00D14C73"/>
    <w:rsid w:val="00D15892"/>
    <w:rsid w:val="00D16CEA"/>
    <w:rsid w:val="00D1731A"/>
    <w:rsid w:val="00D23AF8"/>
    <w:rsid w:val="00D25D8B"/>
    <w:rsid w:val="00D30C63"/>
    <w:rsid w:val="00D33B40"/>
    <w:rsid w:val="00D46354"/>
    <w:rsid w:val="00D46F02"/>
    <w:rsid w:val="00D5166D"/>
    <w:rsid w:val="00D54D3C"/>
    <w:rsid w:val="00D5573A"/>
    <w:rsid w:val="00D6197E"/>
    <w:rsid w:val="00D7047D"/>
    <w:rsid w:val="00D71F98"/>
    <w:rsid w:val="00D736CF"/>
    <w:rsid w:val="00D74ABD"/>
    <w:rsid w:val="00D74BC8"/>
    <w:rsid w:val="00D752D7"/>
    <w:rsid w:val="00D75467"/>
    <w:rsid w:val="00D773E9"/>
    <w:rsid w:val="00D8144D"/>
    <w:rsid w:val="00D81663"/>
    <w:rsid w:val="00D818E3"/>
    <w:rsid w:val="00D8506E"/>
    <w:rsid w:val="00D85410"/>
    <w:rsid w:val="00D901BE"/>
    <w:rsid w:val="00D91D1C"/>
    <w:rsid w:val="00D922BD"/>
    <w:rsid w:val="00D96E7A"/>
    <w:rsid w:val="00DA146C"/>
    <w:rsid w:val="00DA1540"/>
    <w:rsid w:val="00DA2A70"/>
    <w:rsid w:val="00DB3811"/>
    <w:rsid w:val="00DB4135"/>
    <w:rsid w:val="00DB46EC"/>
    <w:rsid w:val="00DB4895"/>
    <w:rsid w:val="00DB5268"/>
    <w:rsid w:val="00DC19E8"/>
    <w:rsid w:val="00DC5551"/>
    <w:rsid w:val="00DD0C33"/>
    <w:rsid w:val="00DD1DF3"/>
    <w:rsid w:val="00DD277A"/>
    <w:rsid w:val="00DD3DF1"/>
    <w:rsid w:val="00DD5207"/>
    <w:rsid w:val="00DE22C9"/>
    <w:rsid w:val="00DE33DA"/>
    <w:rsid w:val="00DE36DA"/>
    <w:rsid w:val="00DE3810"/>
    <w:rsid w:val="00DE592E"/>
    <w:rsid w:val="00DE78B1"/>
    <w:rsid w:val="00DE7DD2"/>
    <w:rsid w:val="00DF2072"/>
    <w:rsid w:val="00DF2893"/>
    <w:rsid w:val="00DF4BA4"/>
    <w:rsid w:val="00DF4E29"/>
    <w:rsid w:val="00DF50EB"/>
    <w:rsid w:val="00DF799A"/>
    <w:rsid w:val="00E0061C"/>
    <w:rsid w:val="00E01928"/>
    <w:rsid w:val="00E0390F"/>
    <w:rsid w:val="00E155D4"/>
    <w:rsid w:val="00E16BA2"/>
    <w:rsid w:val="00E17EDD"/>
    <w:rsid w:val="00E20BAE"/>
    <w:rsid w:val="00E213F4"/>
    <w:rsid w:val="00E229B6"/>
    <w:rsid w:val="00E259E7"/>
    <w:rsid w:val="00E25BAC"/>
    <w:rsid w:val="00E3037A"/>
    <w:rsid w:val="00E30F68"/>
    <w:rsid w:val="00E37624"/>
    <w:rsid w:val="00E43858"/>
    <w:rsid w:val="00E448BF"/>
    <w:rsid w:val="00E5197B"/>
    <w:rsid w:val="00E52DEE"/>
    <w:rsid w:val="00E63BF7"/>
    <w:rsid w:val="00E66E9C"/>
    <w:rsid w:val="00E66F86"/>
    <w:rsid w:val="00E716E2"/>
    <w:rsid w:val="00E80C69"/>
    <w:rsid w:val="00E85866"/>
    <w:rsid w:val="00E93440"/>
    <w:rsid w:val="00E93F14"/>
    <w:rsid w:val="00E95813"/>
    <w:rsid w:val="00E95C6C"/>
    <w:rsid w:val="00E95F15"/>
    <w:rsid w:val="00EA025E"/>
    <w:rsid w:val="00EA4BA0"/>
    <w:rsid w:val="00EB6AA1"/>
    <w:rsid w:val="00EC43E7"/>
    <w:rsid w:val="00EC4DF7"/>
    <w:rsid w:val="00EC529F"/>
    <w:rsid w:val="00EC60F0"/>
    <w:rsid w:val="00EC6408"/>
    <w:rsid w:val="00ED2914"/>
    <w:rsid w:val="00ED4253"/>
    <w:rsid w:val="00ED5C6D"/>
    <w:rsid w:val="00EE1F4F"/>
    <w:rsid w:val="00EF5528"/>
    <w:rsid w:val="00F02CF1"/>
    <w:rsid w:val="00F038AA"/>
    <w:rsid w:val="00F06AB3"/>
    <w:rsid w:val="00F13332"/>
    <w:rsid w:val="00F1338C"/>
    <w:rsid w:val="00F13D83"/>
    <w:rsid w:val="00F208E3"/>
    <w:rsid w:val="00F24AE0"/>
    <w:rsid w:val="00F34879"/>
    <w:rsid w:val="00F4200E"/>
    <w:rsid w:val="00F450D1"/>
    <w:rsid w:val="00F470A8"/>
    <w:rsid w:val="00F502AF"/>
    <w:rsid w:val="00F51FFF"/>
    <w:rsid w:val="00F53E04"/>
    <w:rsid w:val="00F56CE7"/>
    <w:rsid w:val="00F6047E"/>
    <w:rsid w:val="00F62F13"/>
    <w:rsid w:val="00F64A1F"/>
    <w:rsid w:val="00F6587E"/>
    <w:rsid w:val="00F66501"/>
    <w:rsid w:val="00F72327"/>
    <w:rsid w:val="00F7263C"/>
    <w:rsid w:val="00F77D7A"/>
    <w:rsid w:val="00F8020E"/>
    <w:rsid w:val="00F815A3"/>
    <w:rsid w:val="00F86841"/>
    <w:rsid w:val="00F86FF0"/>
    <w:rsid w:val="00F8782C"/>
    <w:rsid w:val="00F9000A"/>
    <w:rsid w:val="00F9205E"/>
    <w:rsid w:val="00F923F0"/>
    <w:rsid w:val="00F942E5"/>
    <w:rsid w:val="00F954F0"/>
    <w:rsid w:val="00F96656"/>
    <w:rsid w:val="00F96B7C"/>
    <w:rsid w:val="00FA04A7"/>
    <w:rsid w:val="00FA38D2"/>
    <w:rsid w:val="00FA77DD"/>
    <w:rsid w:val="00FC0FC7"/>
    <w:rsid w:val="00FC509F"/>
    <w:rsid w:val="00FC769D"/>
    <w:rsid w:val="00FD0868"/>
    <w:rsid w:val="00FD5897"/>
    <w:rsid w:val="00FD7076"/>
    <w:rsid w:val="00FE1C18"/>
    <w:rsid w:val="00FF088B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6B77CC-8EC1-41D0-851E-DE95E030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2A96"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rsid w:val="00954FF4"/>
    <w:pPr>
      <w:keepNext/>
      <w:numPr>
        <w:numId w:val="1"/>
      </w:numPr>
      <w:tabs>
        <w:tab w:val="decimal" w:pos="-2127"/>
      </w:tabs>
      <w:spacing w:before="480"/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rsid w:val="00954FF4"/>
    <w:pPr>
      <w:keepNext/>
      <w:numPr>
        <w:ilvl w:val="1"/>
        <w:numId w:val="1"/>
      </w:numPr>
      <w:spacing w:before="24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954FF4"/>
    <w:pPr>
      <w:keepNext/>
      <w:numPr>
        <w:ilvl w:val="2"/>
        <w:numId w:val="1"/>
      </w:numPr>
      <w:spacing w:before="240"/>
      <w:outlineLvl w:val="2"/>
    </w:pPr>
    <w:rPr>
      <w:b/>
      <w:sz w:val="26"/>
    </w:rPr>
  </w:style>
  <w:style w:type="paragraph" w:styleId="Nadpis4">
    <w:name w:val="heading 4"/>
    <w:basedOn w:val="Nadpis3"/>
    <w:next w:val="Normln"/>
    <w:qFormat/>
    <w:rsid w:val="00954FF4"/>
    <w:pPr>
      <w:numPr>
        <w:ilvl w:val="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54FF4"/>
    <w:pPr>
      <w:numPr>
        <w:ilvl w:val="4"/>
        <w:numId w:val="1"/>
      </w:numPr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954FF4"/>
    <w:pPr>
      <w:numPr>
        <w:ilvl w:val="5"/>
        <w:numId w:val="1"/>
      </w:numP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954FF4"/>
    <w:pPr>
      <w:numPr>
        <w:ilvl w:val="6"/>
        <w:numId w:val="1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54FF4"/>
    <w:pPr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954FF4"/>
    <w:pPr>
      <w:numPr>
        <w:ilvl w:val="8"/>
        <w:numId w:val="1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54FF4"/>
    <w:pPr>
      <w:pBdr>
        <w:bottom w:val="dotted" w:sz="4" w:space="1" w:color="auto"/>
      </w:pBdr>
      <w:tabs>
        <w:tab w:val="right" w:pos="9072"/>
      </w:tabs>
      <w:spacing w:before="120"/>
    </w:pPr>
    <w:rPr>
      <w:i/>
      <w:sz w:val="20"/>
    </w:rPr>
  </w:style>
  <w:style w:type="paragraph" w:styleId="Zpat">
    <w:name w:val="footer"/>
    <w:basedOn w:val="Normln"/>
    <w:semiHidden/>
    <w:rsid w:val="00954FF4"/>
    <w:pPr>
      <w:pBdr>
        <w:top w:val="dotted" w:sz="4" w:space="1" w:color="auto"/>
      </w:pBdr>
      <w:tabs>
        <w:tab w:val="center" w:pos="4819"/>
        <w:tab w:val="right" w:pos="9071"/>
      </w:tabs>
      <w:spacing w:before="360"/>
    </w:pPr>
    <w:rPr>
      <w:i/>
      <w:sz w:val="20"/>
    </w:rPr>
  </w:style>
  <w:style w:type="paragraph" w:styleId="Obsah1">
    <w:name w:val="toc 1"/>
    <w:basedOn w:val="Normln"/>
    <w:next w:val="Normln"/>
    <w:uiPriority w:val="39"/>
    <w:rsid w:val="00954FF4"/>
    <w:pPr>
      <w:tabs>
        <w:tab w:val="right" w:leader="dot" w:pos="9050"/>
      </w:tabs>
      <w:spacing w:after="60"/>
      <w:ind w:left="851" w:right="851" w:hanging="851"/>
      <w:jc w:val="left"/>
    </w:pPr>
    <w:rPr>
      <w:caps/>
    </w:rPr>
  </w:style>
  <w:style w:type="paragraph" w:styleId="Obsah2">
    <w:name w:val="toc 2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8"/>
    </w:rPr>
  </w:style>
  <w:style w:type="paragraph" w:styleId="Obsah3">
    <w:name w:val="toc 3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6"/>
    </w:rPr>
  </w:style>
  <w:style w:type="paragraph" w:customStyle="1" w:styleId="Poznmka">
    <w:name w:val="Poznámka"/>
    <w:rsid w:val="00954FF4"/>
    <w:pPr>
      <w:jc w:val="both"/>
    </w:pPr>
    <w:rPr>
      <w:color w:val="000000"/>
    </w:rPr>
  </w:style>
  <w:style w:type="paragraph" w:customStyle="1" w:styleId="Texttabulky">
    <w:name w:val="Text tabulky"/>
    <w:rsid w:val="00954FF4"/>
    <w:pPr>
      <w:jc w:val="both"/>
    </w:pPr>
    <w:rPr>
      <w:color w:val="000000"/>
      <w:sz w:val="24"/>
    </w:rPr>
  </w:style>
  <w:style w:type="character" w:styleId="Odkaznavysvtlivky">
    <w:name w:val="endnote reference"/>
    <w:semiHidden/>
    <w:rsid w:val="00954FF4"/>
    <w:rPr>
      <w:rFonts w:ascii="Arial" w:hAnsi="Arial"/>
      <w:noProof w:val="0"/>
      <w:vertAlign w:val="superscript"/>
      <w:lang w:val="cs-CZ"/>
    </w:rPr>
  </w:style>
  <w:style w:type="character" w:styleId="Znakapoznpodarou">
    <w:name w:val="footnote reference"/>
    <w:semiHidden/>
    <w:rsid w:val="00954FF4"/>
    <w:rPr>
      <w:position w:val="6"/>
      <w:sz w:val="16"/>
    </w:rPr>
  </w:style>
  <w:style w:type="paragraph" w:styleId="Textpoznpodarou">
    <w:name w:val="footnote text"/>
    <w:basedOn w:val="Normln"/>
    <w:semiHidden/>
    <w:rsid w:val="00954FF4"/>
  </w:style>
  <w:style w:type="paragraph" w:customStyle="1" w:styleId="Nadpsekneslovan">
    <w:name w:val="Nadpísek nečíslovaný"/>
    <w:basedOn w:val="Normln"/>
    <w:rsid w:val="00954FF4"/>
    <w:pPr>
      <w:keepNext/>
      <w:spacing w:before="120"/>
    </w:pPr>
    <w:rPr>
      <w:b/>
    </w:rPr>
  </w:style>
  <w:style w:type="character" w:styleId="Odkaznakoment">
    <w:name w:val="annotation reference"/>
    <w:semiHidden/>
    <w:rsid w:val="00954FF4"/>
    <w:rPr>
      <w:sz w:val="16"/>
    </w:rPr>
  </w:style>
  <w:style w:type="paragraph" w:styleId="Textkomente">
    <w:name w:val="annotation text"/>
    <w:basedOn w:val="Normln"/>
    <w:semiHidden/>
    <w:rsid w:val="00954FF4"/>
    <w:rPr>
      <w:sz w:val="20"/>
    </w:rPr>
  </w:style>
  <w:style w:type="paragraph" w:styleId="Textbubliny">
    <w:name w:val="Balloon Text"/>
    <w:basedOn w:val="Normln"/>
    <w:semiHidden/>
    <w:rsid w:val="00954FF4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rsid w:val="00954FF4"/>
    <w:pPr>
      <w:keepNext/>
    </w:pPr>
    <w:rPr>
      <w:b/>
      <w:bCs/>
      <w:caps/>
      <w:sz w:val="32"/>
    </w:rPr>
  </w:style>
  <w:style w:type="paragraph" w:customStyle="1" w:styleId="Odrkybezmezery">
    <w:name w:val="Odrážky bez mezery"/>
    <w:basedOn w:val="Normln"/>
    <w:rsid w:val="00954FF4"/>
    <w:pPr>
      <w:numPr>
        <w:numId w:val="3"/>
      </w:numPr>
      <w:spacing w:after="0"/>
    </w:pPr>
  </w:style>
  <w:style w:type="paragraph" w:customStyle="1" w:styleId="Odrkysmezerou">
    <w:name w:val="Odrážky s mezerou"/>
    <w:basedOn w:val="Normln"/>
    <w:rsid w:val="00954FF4"/>
    <w:pPr>
      <w:tabs>
        <w:tab w:val="num" w:pos="851"/>
      </w:tabs>
      <w:ind w:left="851" w:hanging="425"/>
    </w:pPr>
  </w:style>
  <w:style w:type="paragraph" w:customStyle="1" w:styleId="Odrkyslovan">
    <w:name w:val="Odrážky číslované"/>
    <w:basedOn w:val="Normln"/>
    <w:rsid w:val="00954FF4"/>
    <w:pPr>
      <w:numPr>
        <w:numId w:val="4"/>
      </w:numPr>
      <w:tabs>
        <w:tab w:val="clear" w:pos="360"/>
        <w:tab w:val="num" w:pos="851"/>
      </w:tabs>
      <w:ind w:left="851" w:hanging="425"/>
    </w:pPr>
  </w:style>
  <w:style w:type="paragraph" w:customStyle="1" w:styleId="M">
    <w:name w:val="MŘ"/>
    <w:basedOn w:val="Normln"/>
    <w:rsid w:val="00954FF4"/>
    <w:pPr>
      <w:spacing w:after="0"/>
      <w:jc w:val="left"/>
      <w:outlineLvl w:val="0"/>
    </w:pPr>
    <w:rPr>
      <w:rFonts w:ascii="Arial" w:hAnsi="Arial"/>
    </w:rPr>
  </w:style>
  <w:style w:type="paragraph" w:customStyle="1" w:styleId="Normlnbezmezery">
    <w:name w:val="Normální bez mezery"/>
    <w:basedOn w:val="Normln"/>
    <w:rsid w:val="00954FF4"/>
    <w:pPr>
      <w:spacing w:after="0"/>
    </w:pPr>
  </w:style>
  <w:style w:type="paragraph" w:customStyle="1" w:styleId="Tabulkacentrovan">
    <w:name w:val="Tabulka centrovaná"/>
    <w:basedOn w:val="Normln"/>
    <w:rsid w:val="00954FF4"/>
    <w:pPr>
      <w:spacing w:before="60" w:after="60"/>
      <w:jc w:val="center"/>
      <w:outlineLvl w:val="0"/>
    </w:pPr>
  </w:style>
  <w:style w:type="paragraph" w:styleId="Zkladntext2">
    <w:name w:val="Body Text 2"/>
    <w:basedOn w:val="Normln"/>
    <w:semiHidden/>
    <w:rsid w:val="00954FF4"/>
    <w:pPr>
      <w:spacing w:before="120" w:after="0"/>
      <w:outlineLvl w:val="0"/>
    </w:pPr>
  </w:style>
  <w:style w:type="paragraph" w:styleId="Zkladntextodsazen">
    <w:name w:val="Body Text Indent"/>
    <w:basedOn w:val="Normln"/>
    <w:semiHidden/>
    <w:rsid w:val="00954FF4"/>
    <w:pPr>
      <w:ind w:left="709" w:hanging="709"/>
    </w:pPr>
  </w:style>
  <w:style w:type="paragraph" w:styleId="Zkladntext3">
    <w:name w:val="Body Text 3"/>
    <w:basedOn w:val="Normln"/>
    <w:semiHidden/>
    <w:rsid w:val="00954FF4"/>
    <w:pPr>
      <w:spacing w:before="40" w:after="40" w:line="360" w:lineRule="auto"/>
      <w:ind w:firstLine="567"/>
      <w:jc w:val="left"/>
    </w:pPr>
    <w:rPr>
      <w:snapToGrid w:val="0"/>
    </w:rPr>
  </w:style>
  <w:style w:type="paragraph" w:customStyle="1" w:styleId="odrky">
    <w:name w:val="odrážky"/>
    <w:basedOn w:val="Normln"/>
    <w:rsid w:val="00954FF4"/>
    <w:pPr>
      <w:numPr>
        <w:numId w:val="5"/>
      </w:numPr>
      <w:tabs>
        <w:tab w:val="clear" w:pos="360"/>
        <w:tab w:val="num" w:pos="567"/>
      </w:tabs>
      <w:spacing w:before="120" w:after="0"/>
      <w:ind w:left="567" w:hanging="283"/>
      <w:jc w:val="left"/>
      <w:outlineLvl w:val="0"/>
    </w:pPr>
  </w:style>
  <w:style w:type="paragraph" w:styleId="Zkladntext">
    <w:name w:val="Body Text"/>
    <w:basedOn w:val="Normln"/>
    <w:link w:val="ZkladntextChar"/>
    <w:rsid w:val="00954FF4"/>
    <w:pPr>
      <w:spacing w:after="0"/>
    </w:pPr>
    <w:rPr>
      <w:szCs w:val="24"/>
    </w:rPr>
  </w:style>
  <w:style w:type="paragraph" w:styleId="Seznamsodrkami">
    <w:name w:val="List Bullet"/>
    <w:basedOn w:val="Normln"/>
    <w:autoRedefine/>
    <w:semiHidden/>
    <w:rsid w:val="00954FF4"/>
    <w:pPr>
      <w:numPr>
        <w:numId w:val="2"/>
      </w:numPr>
      <w:spacing w:after="0"/>
    </w:pPr>
  </w:style>
  <w:style w:type="character" w:customStyle="1" w:styleId="articletitle">
    <w:name w:val="articletitle"/>
    <w:basedOn w:val="Standardnpsmoodstavce"/>
    <w:rsid w:val="00954FF4"/>
  </w:style>
  <w:style w:type="paragraph" w:customStyle="1" w:styleId="odrkypuntk">
    <w:name w:val="odrážky puntík"/>
    <w:rsid w:val="0004315B"/>
    <w:pPr>
      <w:numPr>
        <w:numId w:val="6"/>
      </w:numPr>
      <w:suppressAutoHyphens/>
    </w:pPr>
    <w:rPr>
      <w:rFonts w:eastAsia="Arial"/>
      <w:sz w:val="24"/>
      <w:lang w:eastAsia="ar-SA"/>
    </w:rPr>
  </w:style>
  <w:style w:type="table" w:styleId="Mkatabulky">
    <w:name w:val="Table Grid"/>
    <w:basedOn w:val="Normlntabulka"/>
    <w:uiPriority w:val="59"/>
    <w:rsid w:val="009E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C23AA9"/>
    <w:rPr>
      <w:sz w:val="24"/>
      <w:szCs w:val="24"/>
    </w:rPr>
  </w:style>
  <w:style w:type="paragraph" w:customStyle="1" w:styleId="Zkladntext31">
    <w:name w:val="Základní text 31"/>
    <w:rsid w:val="00C6677D"/>
    <w:pPr>
      <w:suppressAutoHyphens/>
      <w:ind w:firstLine="567"/>
    </w:pPr>
    <w:rPr>
      <w:rFonts w:eastAsia="Arial"/>
      <w:color w:val="000000"/>
      <w:sz w:val="24"/>
      <w:lang w:eastAsia="ar-SA"/>
    </w:rPr>
  </w:style>
  <w:style w:type="character" w:styleId="Hypertextovodkaz">
    <w:name w:val="Hyperlink"/>
    <w:uiPriority w:val="99"/>
    <w:unhideWhenUsed/>
    <w:rsid w:val="00C6677D"/>
    <w:rPr>
      <w:color w:val="0000FF"/>
      <w:u w:val="single"/>
    </w:rPr>
  </w:style>
  <w:style w:type="paragraph" w:customStyle="1" w:styleId="Bntextodsazen">
    <w:name w:val="Běžný text odsazený"/>
    <w:basedOn w:val="Normln"/>
    <w:rsid w:val="005777E0"/>
    <w:pPr>
      <w:widowControl w:val="0"/>
      <w:spacing w:before="60" w:after="60" w:line="300" w:lineRule="exact"/>
      <w:ind w:left="567"/>
      <w:jc w:val="left"/>
    </w:pPr>
    <w:rPr>
      <w:rFonts w:ascii="Arial" w:hAnsi="Arial"/>
      <w:sz w:val="20"/>
      <w:szCs w:val="24"/>
    </w:rPr>
  </w:style>
  <w:style w:type="paragraph" w:customStyle="1" w:styleId="Textdopisu">
    <w:name w:val="Text dopisu"/>
    <w:basedOn w:val="Normln"/>
    <w:rsid w:val="001A2A8D"/>
    <w:pPr>
      <w:tabs>
        <w:tab w:val="left" w:pos="2268"/>
        <w:tab w:val="center" w:pos="5670"/>
      </w:tabs>
      <w:spacing w:before="120" w:after="0"/>
      <w:ind w:right="133"/>
    </w:pPr>
  </w:style>
  <w:style w:type="paragraph" w:styleId="Titulek">
    <w:name w:val="caption"/>
    <w:basedOn w:val="Normln"/>
    <w:next w:val="Normln"/>
    <w:qFormat/>
    <w:rsid w:val="009E2618"/>
    <w:pPr>
      <w:spacing w:before="120" w:line="360" w:lineRule="auto"/>
      <w:jc w:val="left"/>
      <w:outlineLvl w:val="0"/>
    </w:pPr>
    <w:rPr>
      <w:b/>
    </w:rPr>
  </w:style>
  <w:style w:type="paragraph" w:styleId="Obsah4">
    <w:name w:val="toc 4"/>
    <w:basedOn w:val="Normln"/>
    <w:next w:val="Normln"/>
    <w:autoRedefine/>
    <w:uiPriority w:val="39"/>
    <w:unhideWhenUsed/>
    <w:rsid w:val="00C67BF5"/>
    <w:pPr>
      <w:spacing w:after="100"/>
      <w:ind w:left="720"/>
    </w:pPr>
  </w:style>
  <w:style w:type="paragraph" w:styleId="Odstavecseseznamem">
    <w:name w:val="List Paragraph"/>
    <w:basedOn w:val="Normln"/>
    <w:uiPriority w:val="34"/>
    <w:qFormat/>
    <w:rsid w:val="005266B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942E5"/>
    <w:rPr>
      <w:b/>
      <w:sz w:val="26"/>
    </w:rPr>
  </w:style>
  <w:style w:type="paragraph" w:customStyle="1" w:styleId="Obsahtabulky">
    <w:name w:val="Obsah tabulky"/>
    <w:basedOn w:val="Normln"/>
    <w:rsid w:val="003C4F98"/>
    <w:pPr>
      <w:widowControl w:val="0"/>
      <w:suppressLineNumbers/>
      <w:suppressAutoHyphens/>
      <w:spacing w:after="0"/>
      <w:jc w:val="left"/>
    </w:pPr>
    <w:rPr>
      <w:rFonts w:ascii="Arial" w:eastAsia="SimSun" w:hAnsi="Arial" w:cs="Tahoma"/>
      <w:kern w:val="1"/>
      <w:sz w:val="20"/>
      <w:szCs w:val="24"/>
      <w:lang w:eastAsia="hi-IN" w:bidi="hi-IN"/>
    </w:rPr>
  </w:style>
  <w:style w:type="character" w:styleId="Sledovanodkaz">
    <w:name w:val="FollowedHyperlink"/>
    <w:basedOn w:val="Standardnpsmoodstavce"/>
    <w:uiPriority w:val="99"/>
    <w:semiHidden/>
    <w:unhideWhenUsed/>
    <w:rsid w:val="002377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p.poh.cz/portal/SaP/cz/PC/Mereni.aspx?id=3424&amp;oid=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4C87-32B9-4E74-9640-1464E815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11</Pages>
  <Words>2463</Words>
  <Characters>14538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písemnosti TBD</vt:lpstr>
    </vt:vector>
  </TitlesOfParts>
  <Company>VD-TBD a. s.</Company>
  <LinksUpToDate>false</LinksUpToDate>
  <CharactersWithSpaces>16968</CharactersWithSpaces>
  <SharedDoc>false</SharedDoc>
  <HLinks>
    <vt:vector size="174" baseType="variant">
      <vt:variant>
        <vt:i4>6094865</vt:i4>
      </vt:variant>
      <vt:variant>
        <vt:i4>144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http://www.technicke-normy-csn.cz/technicke-normy/stavebni-suroviny%2C-materialy-a-vyrobky-72/lomarske-a-kamenicke-vyrobky-%28z-prirodniho-kamene%29-pro-stavebnictvi-7218/(721860)-CSN-72-1860-5403.html</vt:lpwstr>
      </vt:variant>
      <vt:variant>
        <vt:lpwstr/>
      </vt:variant>
      <vt:variant>
        <vt:i4>7078005</vt:i4>
      </vt:variant>
      <vt:variant>
        <vt:i4>141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http://www.technicke-normy-csn.cz/technicke-normy/stavebni-suroviny%2C-materialy-a-vyrobky-72/lomarske-a-kamenicke-vyrobky-%28z-prirodniho-kamene%29-pro-stavebnictvi-7218/(721800)-CSN-72-1800-30833.html</vt:lpwstr>
      </vt:variant>
      <vt:variant>
        <vt:lpwstr/>
      </vt:variant>
      <vt:variant>
        <vt:i4>1572870</vt:i4>
      </vt:variant>
      <vt:variant>
        <vt:i4>138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http://www.technicke-normy-csn.cz/technicke-normy/stavebni-suroviny%2C-materialy-a-vyrobky-72/zkusebni-metody-hornin-a-zemin-7211/(721151)-CSN-72-1151-30775.html</vt:lpwstr>
      </vt:variant>
      <vt:variant>
        <vt:lpwstr/>
      </vt:variant>
      <vt:variant>
        <vt:i4>3342460</vt:i4>
      </vt:variant>
      <vt:variant>
        <vt:i4>135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3342460</vt:i4>
      </vt:variant>
      <vt:variant>
        <vt:i4>132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5373954</vt:i4>
      </vt:variant>
      <vt:variant>
        <vt:i4>129</vt:i4>
      </vt:variant>
      <vt:variant>
        <vt:i4>0</vt:i4>
      </vt:variant>
      <vt:variant>
        <vt:i4>5</vt:i4>
      </vt:variant>
      <vt:variant>
        <vt:lpwstr>http://www.technicke-normy-csn.cz/technicke-normy/navrhovani-a-provadeni-staveb-73/zdene-konstrukce%2C-navrhovani-7311/(731101)-CSN-EN-1996-2-77706.html</vt:lpwstr>
      </vt:variant>
      <vt:variant>
        <vt:lpwstr/>
      </vt:variant>
      <vt:variant>
        <vt:i4>4849750</vt:i4>
      </vt:variant>
      <vt:variant>
        <vt:i4>126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http://www.technicke-normy-csn.cz/technicke-normy/stavebni-suroviny%2C-materialy-a-vyrobky-72/zkusebni-metody-hornin-a-zemin-7211/(721142)-CSN-EN-1926-79068.html</vt:lpwstr>
      </vt:variant>
      <vt:variant>
        <vt:lpwstr/>
      </vt:variant>
      <vt:variant>
        <vt:i4>7864445</vt:i4>
      </vt:variant>
      <vt:variant>
        <vt:i4>123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http://www.technicke-normy-csn.cz/technicke-normy/stavebni-suroviny%2C-materialy-a-vyrobky-72/zkusebni-metody-hornin-a-zemin-7211/(721175)-CSN-EN-1097-1-26530.html</vt:lpwstr>
      </vt:variant>
      <vt:variant>
        <vt:lpwstr/>
      </vt:variant>
      <vt:variant>
        <vt:i4>65551</vt:i4>
      </vt:variant>
      <vt:variant>
        <vt:i4>120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http://www.technicke-normy-csn.cz/technicke-normy/stavebni-suroviny%2C-materialy-a-vyrobky-72/malty%2C-maltove-smesi%2C-potery-7224/(722401)-CSN-EN-998-2-68526.html</vt:lpwstr>
      </vt:variant>
      <vt:variant>
        <vt:lpwstr/>
      </vt:variant>
      <vt:variant>
        <vt:i4>65623</vt:i4>
      </vt:variant>
      <vt:variant>
        <vt:i4>117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http://www.technicke-normy-csn.cz/technicke-normy/stavebni-suroviny%2C-materialy-a-vyrobky-72/cihlarske-palene-vyrobky-7226/(722634)-CSN-EN-771-6-75065.html</vt:lpwstr>
      </vt:variant>
      <vt:variant>
        <vt:lpwstr/>
      </vt:variant>
      <vt:variant>
        <vt:i4>6422586</vt:i4>
      </vt:variant>
      <vt:variant>
        <vt:i4>114</vt:i4>
      </vt:variant>
      <vt:variant>
        <vt:i4>0</vt:i4>
      </vt:variant>
      <vt:variant>
        <vt:i4>5</vt:i4>
      </vt:variant>
      <vt:variant>
        <vt:lpwstr>javascript:detailzmeny(84131);</vt:lpwstr>
      </vt:variant>
      <vt:variant>
        <vt:lpwstr/>
      </vt:variant>
      <vt:variant>
        <vt:i4>7012402</vt:i4>
      </vt:variant>
      <vt:variant>
        <vt:i4>111</vt:i4>
      </vt:variant>
      <vt:variant>
        <vt:i4>0</vt:i4>
      </vt:variant>
      <vt:variant>
        <vt:i4>5</vt:i4>
      </vt:variant>
      <vt:variant>
        <vt:lpwstr>javascript:detailzmeny(78274);</vt:lpwstr>
      </vt:variant>
      <vt:variant>
        <vt:lpwstr/>
      </vt:variant>
      <vt:variant>
        <vt:i4>6291519</vt:i4>
      </vt:variant>
      <vt:variant>
        <vt:i4>108</vt:i4>
      </vt:variant>
      <vt:variant>
        <vt:i4>0</vt:i4>
      </vt:variant>
      <vt:variant>
        <vt:i4>5</vt:i4>
      </vt:variant>
      <vt:variant>
        <vt:lpwstr>javascript:detailzmeny(85371);</vt:lpwstr>
      </vt:variant>
      <vt:variant>
        <vt:lpwstr/>
      </vt:variant>
      <vt:variant>
        <vt:i4>6357043</vt:i4>
      </vt:variant>
      <vt:variant>
        <vt:i4>105</vt:i4>
      </vt:variant>
      <vt:variant>
        <vt:i4>0</vt:i4>
      </vt:variant>
      <vt:variant>
        <vt:i4>5</vt:i4>
      </vt:variant>
      <vt:variant>
        <vt:lpwstr>javascript:detailzmeny(88261);</vt:lpwstr>
      </vt:variant>
      <vt:variant>
        <vt:lpwstr/>
      </vt:variant>
      <vt:variant>
        <vt:i4>6684729</vt:i4>
      </vt:variant>
      <vt:variant>
        <vt:i4>102</vt:i4>
      </vt:variant>
      <vt:variant>
        <vt:i4>0</vt:i4>
      </vt:variant>
      <vt:variant>
        <vt:i4>5</vt:i4>
      </vt:variant>
      <vt:variant>
        <vt:lpwstr>javascript:detailzmeny(82662);</vt:lpwstr>
      </vt:variant>
      <vt:variant>
        <vt:lpwstr/>
      </vt:variant>
      <vt:variant>
        <vt:i4>6553654</vt:i4>
      </vt:variant>
      <vt:variant>
        <vt:i4>99</vt:i4>
      </vt:variant>
      <vt:variant>
        <vt:i4>0</vt:i4>
      </vt:variant>
      <vt:variant>
        <vt:i4>5</vt:i4>
      </vt:variant>
      <vt:variant>
        <vt:lpwstr>javascript:detailzmeny(79029);</vt:lpwstr>
      </vt:variant>
      <vt:variant>
        <vt:lpwstr/>
      </vt:variant>
      <vt:variant>
        <vt:i4>6</vt:i4>
      </vt:variant>
      <vt:variant>
        <vt:i4>96</vt:i4>
      </vt:variant>
      <vt:variant>
        <vt:i4>0</vt:i4>
      </vt:variant>
      <vt:variant>
        <vt:i4>5</vt:i4>
      </vt:variant>
      <vt:variant>
        <vt:lpwstr>javascript:detail(74826);</vt:lpwstr>
      </vt:variant>
      <vt:variant>
        <vt:lpwstr/>
      </vt:variant>
      <vt:variant>
        <vt:i4>65538</vt:i4>
      </vt:variant>
      <vt:variant>
        <vt:i4>93</vt:i4>
      </vt:variant>
      <vt:variant>
        <vt:i4>0</vt:i4>
      </vt:variant>
      <vt:variant>
        <vt:i4>5</vt:i4>
      </vt:variant>
      <vt:variant>
        <vt:lpwstr>javascript:detail(84336);</vt:lpwstr>
      </vt:variant>
      <vt:variant>
        <vt:lpwstr/>
      </vt:variant>
      <vt:variant>
        <vt:i4>6750258</vt:i4>
      </vt:variant>
      <vt:variant>
        <vt:i4>90</vt:i4>
      </vt:variant>
      <vt:variant>
        <vt:i4>0</vt:i4>
      </vt:variant>
      <vt:variant>
        <vt:i4>5</vt:i4>
      </vt:variant>
      <vt:variant>
        <vt:lpwstr>javascript:detailzmeny(89366);</vt:lpwstr>
      </vt:variant>
      <vt:variant>
        <vt:lpwstr/>
      </vt:variant>
      <vt:variant>
        <vt:i4>65536</vt:i4>
      </vt:variant>
      <vt:variant>
        <vt:i4>87</vt:i4>
      </vt:variant>
      <vt:variant>
        <vt:i4>0</vt:i4>
      </vt:variant>
      <vt:variant>
        <vt:i4>5</vt:i4>
      </vt:variant>
      <vt:variant>
        <vt:lpwstr>javascript:detail(84334);</vt:lpwstr>
      </vt:variant>
      <vt:variant>
        <vt:lpwstr/>
      </vt:variant>
      <vt:variant>
        <vt:i4>65543</vt:i4>
      </vt:variant>
      <vt:variant>
        <vt:i4>84</vt:i4>
      </vt:variant>
      <vt:variant>
        <vt:i4>0</vt:i4>
      </vt:variant>
      <vt:variant>
        <vt:i4>5</vt:i4>
      </vt:variant>
      <vt:variant>
        <vt:lpwstr>javascript:detail(84333);</vt:lpwstr>
      </vt:variant>
      <vt:variant>
        <vt:lpwstr/>
      </vt:variant>
      <vt:variant>
        <vt:i4>7274554</vt:i4>
      </vt:variant>
      <vt:variant>
        <vt:i4>81</vt:i4>
      </vt:variant>
      <vt:variant>
        <vt:i4>0</vt:i4>
      </vt:variant>
      <vt:variant>
        <vt:i4>5</vt:i4>
      </vt:variant>
      <vt:variant>
        <vt:lpwstr>javascript:detailzmeny(75321);</vt:lpwstr>
      </vt:variant>
      <vt:variant>
        <vt:lpwstr/>
      </vt:variant>
      <vt:variant>
        <vt:i4>6</vt:i4>
      </vt:variant>
      <vt:variant>
        <vt:i4>78</vt:i4>
      </vt:variant>
      <vt:variant>
        <vt:i4>0</vt:i4>
      </vt:variant>
      <vt:variant>
        <vt:i4>5</vt:i4>
      </vt:variant>
      <vt:variant>
        <vt:lpwstr>javascript:detail(61679);</vt:lpwstr>
      </vt:variant>
      <vt:variant>
        <vt:lpwstr/>
      </vt:variant>
      <vt:variant>
        <vt:i4>65550</vt:i4>
      </vt:variant>
      <vt:variant>
        <vt:i4>75</vt:i4>
      </vt:variant>
      <vt:variant>
        <vt:i4>0</vt:i4>
      </vt:variant>
      <vt:variant>
        <vt:i4>5</vt:i4>
      </vt:variant>
      <vt:variant>
        <vt:lpwstr>javascript:detail(61166);</vt:lpwstr>
      </vt:variant>
      <vt:variant>
        <vt:lpwstr/>
      </vt:variant>
      <vt:variant>
        <vt:i4>262147</vt:i4>
      </vt:variant>
      <vt:variant>
        <vt:i4>72</vt:i4>
      </vt:variant>
      <vt:variant>
        <vt:i4>0</vt:i4>
      </vt:variant>
      <vt:variant>
        <vt:i4>5</vt:i4>
      </vt:variant>
      <vt:variant>
        <vt:lpwstr>javascript:detail(84367);</vt:lpwstr>
      </vt:variant>
      <vt:variant>
        <vt:lpwstr/>
      </vt:variant>
      <vt:variant>
        <vt:i4>262146</vt:i4>
      </vt:variant>
      <vt:variant>
        <vt:i4>69</vt:i4>
      </vt:variant>
      <vt:variant>
        <vt:i4>0</vt:i4>
      </vt:variant>
      <vt:variant>
        <vt:i4>5</vt:i4>
      </vt:variant>
      <vt:variant>
        <vt:lpwstr>javascript:detail(84366);</vt:lpwstr>
      </vt:variant>
      <vt:variant>
        <vt:lpwstr/>
      </vt:variant>
      <vt:variant>
        <vt:i4>262151</vt:i4>
      </vt:variant>
      <vt:variant>
        <vt:i4>66</vt:i4>
      </vt:variant>
      <vt:variant>
        <vt:i4>0</vt:i4>
      </vt:variant>
      <vt:variant>
        <vt:i4>5</vt:i4>
      </vt:variant>
      <vt:variant>
        <vt:lpwstr>javascript:detail(84363);</vt:lpwstr>
      </vt:variant>
      <vt:variant>
        <vt:lpwstr/>
      </vt:variant>
      <vt:variant>
        <vt:i4>262150</vt:i4>
      </vt:variant>
      <vt:variant>
        <vt:i4>63</vt:i4>
      </vt:variant>
      <vt:variant>
        <vt:i4>0</vt:i4>
      </vt:variant>
      <vt:variant>
        <vt:i4>5</vt:i4>
      </vt:variant>
      <vt:variant>
        <vt:lpwstr>javascript:detail(84362);</vt:lpwstr>
      </vt:variant>
      <vt:variant>
        <vt:lpwstr/>
      </vt:variant>
      <vt:variant>
        <vt:i4>393226</vt:i4>
      </vt:variant>
      <vt:variant>
        <vt:i4>60</vt:i4>
      </vt:variant>
      <vt:variant>
        <vt:i4>0</vt:i4>
      </vt:variant>
      <vt:variant>
        <vt:i4>5</vt:i4>
      </vt:variant>
      <vt:variant>
        <vt:lpwstr>javascript:detail(89994);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písemnosti TBD</dc:title>
  <dc:subject>EZ, SEZ, posudky a studie</dc:subject>
  <dc:creator>Ing. Jan Chroumal</dc:creator>
  <cp:lastModifiedBy>Klemša Tomáš</cp:lastModifiedBy>
  <cp:revision>28</cp:revision>
  <cp:lastPrinted>2019-05-31T13:51:00Z</cp:lastPrinted>
  <dcterms:created xsi:type="dcterms:W3CDTF">2019-03-19T09:34:00Z</dcterms:created>
  <dcterms:modified xsi:type="dcterms:W3CDTF">2019-05-31T13:53:00Z</dcterms:modified>
</cp:coreProperties>
</file>